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38" y="0"/>
                    <wp:lineTo x="-38" y="20855"/>
                    <wp:lineTo x="20930" y="20855"/>
                    <wp:lineTo x="20930" y="0"/>
                    <wp:lineTo x="-38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75 0 -175 96551 96898 96551 96898 0 -175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2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852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852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852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85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52"/>
        <w:ind w:firstLine="709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W w:w="4253" w:type="dxa"/>
            <w:textDirection w:val="lrTb"/>
            <w:noWrap w:val="false"/>
          </w:tcPr>
          <w:p>
            <w:pPr>
              <w:pStyle w:val="852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852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852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852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8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методики распределения 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иных 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межбюджетных трансфертов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 краевого бюджета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бюджетам муниципальных образований в Камчатском крае </w:t>
      </w:r>
      <w:r>
        <w:rPr>
          <w:rFonts w:ascii="Times New Roman" w:hAnsi="Times New Roman"/>
          <w:sz w:val="28"/>
          <w:szCs w:val="28"/>
          <w:highlight w:val="none"/>
        </w:rPr>
        <w:t xml:space="preserve">на софинансирование </w:t>
      </w:r>
      <w:r>
        <w:rPr>
          <w:rFonts w:ascii="Times New Roman" w:hAnsi="Times New Roman"/>
          <w:sz w:val="28"/>
          <w:szCs w:val="28"/>
          <w:highlight w:val="none"/>
        </w:rPr>
        <w:t xml:space="preserve">мероприятий по </w:t>
      </w:r>
      <w:r>
        <w:rPr>
          <w:rFonts w:ascii="Times New Roman" w:hAnsi="Times New Roman"/>
          <w:sz w:val="28"/>
          <w:szCs w:val="28"/>
          <w:highlight w:val="none"/>
        </w:rPr>
        <w:t xml:space="preserve">мониторингу </w:t>
      </w:r>
      <w:r>
        <w:rPr>
          <w:rFonts w:ascii="Times New Roman" w:hAnsi="Times New Roman"/>
          <w:sz w:val="28"/>
          <w:szCs w:val="28"/>
          <w:highlight w:val="none"/>
        </w:rPr>
        <w:t xml:space="preserve">технического состояния многоквартирных домов, признанных аварийными и подлежащими сносу или реконструкции,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направленному на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предотвращение чрезвычайных ситуаций</w:t>
      </w:r>
      <w:r>
        <w:rPr>
          <w:rFonts w:ascii="Times New Roman" w:hAnsi="Times New Roman"/>
          <w:sz w:val="28"/>
          <w:szCs w:val="28"/>
          <w:highlight w:val="none"/>
        </w:rPr>
        <w:t xml:space="preserve">, и правил их предоставления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5"/>
        <w:ind w:firstLine="709"/>
        <w:jc w:val="both"/>
        <w:spacing w:before="0" w:after="0" w:line="240" w:lineRule="auto"/>
        <w:widowControl/>
        <w:rPr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  <w:lang w:val="ru-RU"/>
        </w:rPr>
        <w:t xml:space="preserve">В соотв</w:t>
      </w:r>
      <w:r>
        <w:rPr>
          <w:rFonts w:ascii="Times New Roman" w:hAnsi="Times New Roman"/>
          <w:b w:val="0"/>
          <w:bCs w:val="0"/>
          <w:color w:val="000000"/>
          <w:sz w:val="28"/>
          <w:highlight w:val="none"/>
          <w:shd w:val="clear" w:color="auto" w:fill="auto"/>
          <w:lang w:val="ru-RU"/>
        </w:rPr>
        <w:t xml:space="preserve">етствии со </w:t>
      </w:r>
      <w:r>
        <w:rPr>
          <w:rFonts w:ascii="Times New Roman" w:hAnsi="Times New Roman"/>
          <w:b w:val="0"/>
          <w:bCs w:val="0"/>
          <w:strike w:val="0"/>
          <w:color w:val="000000"/>
          <w:sz w:val="28"/>
          <w:highlight w:val="none"/>
          <w:u w:val="none"/>
          <w:shd w:val="clear" w:color="auto" w:fill="auto"/>
          <w:lang w:val="ru-RU"/>
        </w:rPr>
        <w:t xml:space="preserve">статьей 139</w:t>
      </w:r>
      <w:r>
        <w:rPr>
          <w:rFonts w:ascii="Times New Roman" w:hAnsi="Times New Roman"/>
          <w:b w:val="0"/>
          <w:bCs w:val="0"/>
          <w:strike w:val="0"/>
          <w:color w:val="000000"/>
          <w:sz w:val="28"/>
          <w:highlight w:val="none"/>
          <w:u w:val="none"/>
          <w:shd w:val="clear" w:color="auto" w:fill="auto"/>
          <w:vertAlign w:val="superscript"/>
          <w:lang w:val="ru-RU"/>
        </w:rPr>
        <w:t xml:space="preserve">1</w:t>
      </w:r>
      <w:r>
        <w:rPr>
          <w:rFonts w:ascii="Times New Roman" w:hAnsi="Times New Roman"/>
          <w:b w:val="0"/>
          <w:bCs w:val="0"/>
          <w:color w:val="000000"/>
          <w:sz w:val="28"/>
          <w:highlight w:val="none"/>
          <w:shd w:val="clear" w:color="auto" w:fill="auto"/>
          <w:lang w:val="ru-RU"/>
        </w:rPr>
        <w:t xml:space="preserve"> Бюджетного кодекса Российской Федерации, Федеральным законом от 21.12.1994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0"/>
          <w:highlight w:val="none"/>
          <w:u w:val="none"/>
          <w:shd w:val="clear" w:color="auto" w:fill="auto"/>
          <w:lang w:val="ru-RU" w:eastAsia="ru-RU" w:bidi="ar-SA"/>
        </w:rPr>
        <w:t xml:space="preserve">статьей 6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0"/>
          <w:highlight w:val="none"/>
          <w:u w:val="none"/>
          <w:shd w:val="clear" w:color="auto" w:fill="auto"/>
          <w:vertAlign w:val="superscript"/>
          <w:lang w:val="ru-RU" w:eastAsia="ru-RU" w:bidi="ar-SA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0"/>
          <w:highlight w:val="none"/>
          <w:u w:val="none"/>
          <w:shd w:val="clear" w:color="auto" w:fill="auto"/>
          <w:lang w:val="ru-RU" w:eastAsia="ru-RU" w:bidi="ar-SA"/>
        </w:rPr>
        <w:t xml:space="preserve"> Закона Камчатского края от 11.09.2008 № 110 </w:t>
        <w:br/>
        <w:t xml:space="preserve">«О предоставлении отдельных межбюджетных трансфертов в Камчатском крае»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0"/>
          <w:highlight w:val="none"/>
          <w:shd w:val="clear" w:color="auto" w:fill="auto"/>
          <w:lang w:val="ru-RU" w:eastAsia="ru-RU" w:bidi="ar-SA"/>
        </w:rPr>
        <w:t xml:space="preserve">, </w:t>
      </w:r>
      <w:r>
        <w:rPr>
          <w:highlight w:val="none"/>
        </w:rPr>
      </w:r>
      <w:r>
        <w:rPr>
          <w:highlight w:val="none"/>
        </w:rPr>
      </w:r>
    </w:p>
    <w:p>
      <w:pPr>
        <w:pStyle w:val="852"/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52"/>
        <w:ind w:firstLine="709"/>
        <w:jc w:val="both"/>
        <w:spacing w:before="0"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85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</w:r>
      <w:r>
        <w:rPr>
          <w:rFonts w:ascii="Times New Roman" w:hAnsi="Times New Roman"/>
          <w:b w:val="0"/>
          <w:bCs w:val="0"/>
          <w:sz w:val="28"/>
          <w:lang w:val="ru-RU"/>
        </w:rPr>
      </w:r>
      <w:r>
        <w:rPr>
          <w:rFonts w:ascii="Times New Roman" w:hAnsi="Times New Roman"/>
          <w:b w:val="0"/>
          <w:bCs w:val="0"/>
          <w:sz w:val="28"/>
          <w:lang w:val="ru-RU"/>
        </w:rPr>
      </w:r>
    </w:p>
    <w:p>
      <w:pPr>
        <w:pStyle w:val="885"/>
        <w:ind w:firstLine="709"/>
        <w:jc w:val="both"/>
        <w:spacing w:before="0" w:beforeAutospacing="0" w:after="0" w:afterAutospacing="0" w:line="240" w:lineRule="auto"/>
        <w:widowControl/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1. Утвердить </w:t>
      </w:r>
      <w:r>
        <w:rPr>
          <w:rFonts w:ascii="Times New Roman" w:hAnsi="Times New Roman"/>
          <w:sz w:val="28"/>
          <w:szCs w:val="28"/>
          <w:highlight w:val="none"/>
        </w:rPr>
        <w:t xml:space="preserve">методику распределения 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иных 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межбюджетных трансфертов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 краевого бюджета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бюджетам муниципальных образований в Камчатском крае </w:t>
      </w:r>
      <w:r>
        <w:rPr>
          <w:rFonts w:ascii="Times New Roman" w:hAnsi="Times New Roman"/>
          <w:sz w:val="28"/>
          <w:szCs w:val="28"/>
          <w:highlight w:val="none"/>
        </w:rPr>
        <w:t xml:space="preserve">на софинансирование </w:t>
      </w:r>
      <w:r>
        <w:rPr>
          <w:rFonts w:ascii="Times New Roman" w:hAnsi="Times New Roman"/>
          <w:sz w:val="28"/>
          <w:szCs w:val="28"/>
          <w:highlight w:val="none"/>
        </w:rPr>
        <w:t xml:space="preserve">мероприятий по </w:t>
      </w:r>
      <w:r>
        <w:rPr>
          <w:rFonts w:ascii="Times New Roman" w:hAnsi="Times New Roman"/>
          <w:sz w:val="28"/>
          <w:szCs w:val="28"/>
          <w:highlight w:val="none"/>
        </w:rPr>
        <w:t xml:space="preserve">мониторингу </w:t>
      </w:r>
      <w:r>
        <w:rPr>
          <w:rFonts w:ascii="Times New Roman" w:hAnsi="Times New Roman"/>
          <w:sz w:val="28"/>
          <w:szCs w:val="28"/>
          <w:highlight w:val="none"/>
        </w:rPr>
        <w:t xml:space="preserve">технического состояния многоквартирных домов, признанных аварийными и подлежащими сносу или реконструкции,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направленному на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предотвращение чрезвычайных ситуаций</w:t>
      </w:r>
      <w:r>
        <w:rPr>
          <w:rFonts w:ascii="Times New Roman" w:hAnsi="Times New Roman"/>
          <w:sz w:val="28"/>
          <w:szCs w:val="28"/>
          <w:highlight w:val="none"/>
        </w:rPr>
        <w:t xml:space="preserve">, и правила их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lang w:val="ru-RU"/>
        </w:rPr>
        <w:t xml:space="preserve">согласно приложению к настоящему постановлению.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auto"/>
          <w:lang w:val="ru-RU"/>
        </w:rPr>
        <w:t xml:space="preserve"> </w:t>
      </w:r>
      <w:r/>
    </w:p>
    <w:p>
      <w:pPr>
        <w:pStyle w:val="885"/>
        <w:ind w:firstLine="709"/>
        <w:jc w:val="both"/>
        <w:spacing w:before="0" w:beforeAutospacing="0" w:after="0" w:afterAutospacing="0" w:line="240" w:lineRule="auto"/>
        <w:widowControl/>
        <w:rPr>
          <w:rFonts w:ascii="TimesNewRomanPSMT" w:hAnsi="TimesNewRomanPSMT"/>
          <w:b w:val="0"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2. Настоящее постановление вступает в силу </w:t>
      </w:r>
      <w:r>
        <w:rPr>
          <w:rFonts w:ascii="TimesNewRomanPSMT" w:hAnsi="TimesNewRomanPSMT"/>
          <w:b w:val="0"/>
          <w:i w:val="0"/>
          <w:color w:val="000000"/>
          <w:sz w:val="28"/>
        </w:rPr>
        <w:t xml:space="preserve">после дня его официального опубликования.</w:t>
      </w:r>
      <w:r>
        <w:rPr>
          <w:rFonts w:ascii="TimesNewRomanPSMT" w:hAnsi="TimesNewRomanPSMT"/>
          <w:b w:val="0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NewRomanPSMT" w:hAnsi="TimesNewRomanPSMT"/>
          <w:b w:val="0"/>
          <w:bCs w:val="0"/>
          <w:i w:val="0"/>
          <w:color w:val="000000"/>
          <w:sz w:val="28"/>
          <w:szCs w:val="28"/>
          <w:highlight w:val="none"/>
        </w:rPr>
      </w:r>
    </w:p>
    <w:p>
      <w:pPr>
        <w:pStyle w:val="885"/>
        <w:ind w:firstLine="709"/>
        <w:jc w:val="both"/>
        <w:spacing w:before="0" w:beforeAutospacing="0" w:after="0" w:afterAutospacing="0" w:line="240" w:lineRule="auto"/>
        <w:widowControl/>
        <w:rPr>
          <w:rFonts w:ascii="TimesNewRomanPSMT" w:hAnsi="TimesNewRomanPSMT"/>
          <w:b w:val="0"/>
          <w:bCs w:val="0"/>
          <w:i w:val="0"/>
          <w:color w:val="000000"/>
          <w:sz w:val="28"/>
          <w:szCs w:val="28"/>
          <w:highlight w:val="none"/>
        </w:rPr>
      </w:pPr>
      <w:r>
        <w:rPr>
          <w:rFonts w:ascii="TimesNewRomanPSMT" w:hAnsi="TimesNewRomanPSMT"/>
          <w:b w:val="0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NewRomanPSMT" w:hAnsi="TimesNewRomanPSMT"/>
          <w:b w:val="0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NewRomanPSMT" w:hAnsi="TimesNewRomanPSMT"/>
          <w:b w:val="0"/>
          <w:bCs w:val="0"/>
          <w:i w:val="0"/>
          <w:color w:val="000000"/>
          <w:sz w:val="28"/>
          <w:szCs w:val="28"/>
          <w:highlight w:val="none"/>
        </w:rPr>
      </w:r>
    </w:p>
    <w:tbl>
      <w:tblPr>
        <w:tblW w:w="9673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1423"/>
        </w:trPr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pStyle w:val="852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852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852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852"/>
              <w:ind w:left="3" w:hanging="3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852"/>
              <w:ind w:left="3" w:hanging="3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852"/>
              <w:ind w:left="-113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852"/>
              <w:ind w:right="135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852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852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ru-RU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ru-RU"/>
              </w:rPr>
            </w:r>
          </w:p>
        </w:tc>
      </w:tr>
    </w:tbl>
    <w:tbl>
      <w:tblPr>
        <w:tblStyle w:val="914"/>
        <w:tblW w:w="9637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7"/>
        <w:gridCol w:w="480"/>
        <w:gridCol w:w="482"/>
        <w:gridCol w:w="3661"/>
        <w:gridCol w:w="480"/>
        <w:gridCol w:w="1872"/>
        <w:gridCol w:w="486"/>
        <w:gridCol w:w="169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pageBreakBefore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52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52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2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 w:eastAsia="ru-RU" w:bidi="ar-SA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5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 w:eastAsia="ru-RU" w:bidi="ar-SA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pStyle w:val="852"/>
        <w:jc w:val="both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5"/>
        <w:ind w:left="0" w:right="0" w:firstLine="0"/>
        <w:jc w:val="center"/>
        <w:spacing w:before="0" w:beforeAutospacing="0" w:after="0" w:afterAutospacing="0" w:line="240" w:lineRule="auto"/>
        <w:widowControl/>
        <w:rPr>
          <w:b w:val="0"/>
          <w:bCs w:val="0"/>
        </w:rPr>
      </w:pPr>
      <w:r>
        <w:rPr>
          <w:b w:val="0"/>
          <w:bCs w:val="0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Методика распределения 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иных 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межбюджетных трансфертов</w:t>
      </w:r>
      <w:r>
        <w:rPr>
          <w:rFonts w:ascii="Times New Roman" w:hAnsi="Times New Roman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 краевого бюджета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бюджетам муниципальных образований в Камчатском крае </w:t>
      </w:r>
      <w:r>
        <w:rPr>
          <w:rFonts w:ascii="Times New Roman" w:hAnsi="Times New Roman"/>
          <w:sz w:val="28"/>
          <w:szCs w:val="28"/>
          <w:highlight w:val="none"/>
        </w:rPr>
        <w:t xml:space="preserve">на софинансирование </w:t>
      </w:r>
      <w:r>
        <w:rPr>
          <w:rFonts w:ascii="Times New Roman" w:hAnsi="Times New Roman"/>
          <w:sz w:val="28"/>
          <w:szCs w:val="28"/>
          <w:highlight w:val="none"/>
        </w:rPr>
        <w:t xml:space="preserve">мероприятий по </w:t>
      </w:r>
      <w:r>
        <w:rPr>
          <w:rFonts w:ascii="Times New Roman" w:hAnsi="Times New Roman"/>
          <w:sz w:val="28"/>
          <w:szCs w:val="28"/>
          <w:highlight w:val="none"/>
        </w:rPr>
        <w:t xml:space="preserve">мониторингу </w:t>
      </w:r>
      <w:r>
        <w:rPr>
          <w:rFonts w:ascii="Times New Roman" w:hAnsi="Times New Roman"/>
          <w:sz w:val="28"/>
          <w:szCs w:val="28"/>
          <w:highlight w:val="none"/>
        </w:rPr>
        <w:t xml:space="preserve">технического состояния многоквартирных домов, признанных аварийными и подлежащими сносу </w:t>
        <w:br/>
        <w:t xml:space="preserve">или реконструкции,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направленному на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предотвращение чрезвычайных ситуаций</w:t>
      </w:r>
      <w:r>
        <w:rPr>
          <w:rFonts w:ascii="Times New Roman" w:hAnsi="Times New Roman"/>
          <w:sz w:val="28"/>
          <w:szCs w:val="28"/>
          <w:highlight w:val="none"/>
        </w:rPr>
        <w:t xml:space="preserve">, и правил их предоставления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2"/>
        <w:jc w:val="both"/>
        <w:spacing w:before="0" w:after="0"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pStyle w:val="909"/>
        <w:ind w:left="0" w:right="0" w:firstLine="709"/>
        <w:jc w:val="both"/>
        <w:spacing w:line="240" w:lineRule="auto"/>
      </w:pPr>
      <w:r>
        <w:rPr>
          <w:sz w:val="28"/>
          <w:szCs w:val="28"/>
        </w:rPr>
        <w:t xml:space="preserve">1. Настоящие Методика и </w:t>
      </w:r>
      <w:r>
        <w:rPr>
          <w:sz w:val="28"/>
          <w:szCs w:val="28"/>
        </w:rPr>
        <w:t xml:space="preserve">Правила устанавливают цели, условия </w:t>
        <w:br/>
        <w:t xml:space="preserve">и порядок предоставления 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иных межбюджетных трансфертов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 xml:space="preserve">из краевого бюджета </w:t>
      </w:r>
      <w:r>
        <w:rPr>
          <w:rFonts w:ascii="Times New Roman" w:hAnsi="Times New Roman"/>
          <w:sz w:val="28"/>
          <w:szCs w:val="28"/>
        </w:rPr>
        <w:t xml:space="preserve">бюджетам муниципальных образований в Камчатском крае </w:t>
      </w:r>
      <w:r>
        <w:rPr>
          <w:rFonts w:ascii="Times New Roman" w:hAnsi="Times New Roman"/>
          <w:sz w:val="28"/>
          <w:szCs w:val="28"/>
        </w:rPr>
        <w:t xml:space="preserve">на софинансирование расходных обязательств по мониторингу технического состояния многоквартирных домов, признанных аварийными и подлежащими сносу или реконструкции,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направленному на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предотвращение чрезвычайных ситуаций </w:t>
      </w:r>
      <w:r>
        <w:rPr>
          <w:rFonts w:ascii="Times New Roman" w:hAnsi="Times New Roman"/>
          <w:sz w:val="28"/>
          <w:szCs w:val="28"/>
        </w:rPr>
        <w:t xml:space="preserve">(далее соответственно – Правила, муниципальные образования, иные межбюджетные трансферты)</w:t>
      </w:r>
      <w:r>
        <w:rPr>
          <w:b w:val="0"/>
          <w:sz w:val="28"/>
          <w:szCs w:val="28"/>
        </w:rPr>
        <w:t xml:space="preserve">.</w:t>
      </w:r>
      <w:bookmarkStart w:id="3" w:name="P66"/>
      <w:r/>
      <w:bookmarkEnd w:id="3"/>
      <w:r>
        <w:rPr>
          <w:b w:val="0"/>
          <w:sz w:val="28"/>
          <w:szCs w:val="28"/>
        </w:rPr>
      </w:r>
      <w:r/>
    </w:p>
    <w:p>
      <w:pPr>
        <w:pStyle w:val="909"/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И</w:t>
      </w:r>
      <w:r>
        <w:rPr>
          <w:b w:val="0"/>
          <w:sz w:val="28"/>
          <w:szCs w:val="28"/>
        </w:rPr>
        <w:t xml:space="preserve">ные межбюджетные трансферты</w:t>
      </w:r>
      <w:r>
        <w:rPr>
          <w:sz w:val="28"/>
          <w:szCs w:val="28"/>
        </w:rPr>
        <w:t xml:space="preserve"> предоставляются на</w:t>
      </w:r>
      <w:r>
        <w:rPr>
          <w:sz w:val="28"/>
          <w:szCs w:val="28"/>
        </w:rPr>
        <w:t xml:space="preserve"> проведение мониторинга строительных кон</w:t>
      </w:r>
      <w:r>
        <w:rPr>
          <w:sz w:val="28"/>
          <w:szCs w:val="28"/>
        </w:rPr>
        <w:t xml:space="preserve">струкций</w:t>
      </w:r>
      <w:r>
        <w:rPr>
          <w:sz w:val="28"/>
          <w:szCs w:val="28"/>
        </w:rPr>
        <w:t xml:space="preserve"> нерасселенных </w:t>
      </w:r>
      <w:r>
        <w:rPr>
          <w:sz w:val="28"/>
          <w:szCs w:val="28"/>
        </w:rPr>
        <w:t xml:space="preserve">многоквартирных домов, </w:t>
      </w:r>
      <w:r>
        <w:rPr>
          <w:sz w:val="28"/>
          <w:szCs w:val="28"/>
        </w:rPr>
        <w:t xml:space="preserve">признанных аварийными и подлежащими сносу или реконструкции, для выявления изменений дефектов, выявленных ранее при обследовании домов, новых дефектов, </w:t>
      </w:r>
      <w:r>
        <w:rPr>
          <w:sz w:val="28"/>
          <w:szCs w:val="28"/>
        </w:rPr>
        <w:t xml:space="preserve">определения текущих динамических параметров, определения наличия угрозы обрушения элементов зданий и предотвращения чрезвычайной ситуации.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3. </w:t>
      </w:r>
      <w:r>
        <w:rPr>
          <w:b w:val="0"/>
          <w:bCs w:val="0"/>
          <w:sz w:val="28"/>
          <w:szCs w:val="28"/>
          <w:highlight w:val="none"/>
        </w:rPr>
        <w:t xml:space="preserve">Иные межбюджетные трансферты</w:t>
      </w:r>
      <w:r>
        <w:rPr>
          <w:sz w:val="28"/>
          <w:szCs w:val="28"/>
          <w:highlight w:val="none"/>
        </w:rPr>
        <w:t xml:space="preserve"> предоставляются в пределах лимитов бюджетных обязательств, доведенных до Министерства строительства и жилищной политики Камчатского края (далее – Министерство) как получателя средств краевого бюджета, на предоставление и</w:t>
      </w:r>
      <w:r>
        <w:rPr>
          <w:b w:val="0"/>
          <w:bCs w:val="0"/>
          <w:sz w:val="28"/>
          <w:szCs w:val="28"/>
          <w:highlight w:val="none"/>
        </w:rPr>
        <w:t xml:space="preserve">ных межбюджетных трансфертов</w:t>
      </w:r>
      <w:r>
        <w:rPr>
          <w:sz w:val="28"/>
          <w:szCs w:val="28"/>
          <w:highlight w:val="none"/>
        </w:rPr>
        <w:t xml:space="preserve"> на цели, указанные в части 2 настоящих Правил.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left="0" w:right="0" w:firstLine="709"/>
        <w:jc w:val="both"/>
        <w:rPr>
          <w:highlight w:val="none"/>
        </w:rPr>
      </w:pPr>
      <w:r>
        <w:rPr>
          <w:sz w:val="28"/>
          <w:szCs w:val="28"/>
        </w:rPr>
        <w:t xml:space="preserve">4. Объем бюджетных ассигнований краевого бюджета, выделяемых для предоставления и</w:t>
      </w:r>
      <w:r>
        <w:rPr>
          <w:b w:val="0"/>
          <w:bCs w:val="0"/>
          <w:sz w:val="28"/>
          <w:szCs w:val="28"/>
        </w:rPr>
        <w:t xml:space="preserve">ных межбюджетных</w:t>
      </w:r>
      <w:r>
        <w:rPr>
          <w:b w:val="0"/>
          <w:bCs w:val="0"/>
          <w:sz w:val="28"/>
          <w:szCs w:val="28"/>
          <w:highlight w:val="none"/>
        </w:rPr>
        <w:t xml:space="preserve"> трансфертов</w:t>
      </w:r>
      <w:r>
        <w:rPr>
          <w:sz w:val="28"/>
          <w:szCs w:val="28"/>
          <w:highlight w:val="none"/>
        </w:rPr>
        <w:t xml:space="preserve"> на цели, указанные </w:t>
        <w:br/>
        <w:t xml:space="preserve">в части </w:t>
      </w:r>
      <w:r>
        <w:rPr>
          <w:color w:val="000000"/>
          <w:sz w:val="28"/>
          <w:szCs w:val="28"/>
          <w:highlight w:val="none"/>
          <w:shd w:val="clear" w:color="auto" w:fill="auto"/>
        </w:rPr>
        <w:t xml:space="preserve">2</w:t>
      </w:r>
      <w:r>
        <w:rPr>
          <w:sz w:val="28"/>
          <w:szCs w:val="28"/>
          <w:highlight w:val="none"/>
        </w:rPr>
        <w:t xml:space="preserve"> настоящих Правил, устанавливается 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распоряжением Правительства Камчатского края 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об использовании бюджетных ассигнований краевого бюджета</w:t>
      </w:r>
      <w:r>
        <w:rPr>
          <w:sz w:val="28"/>
          <w:szCs w:val="28"/>
          <w:highlight w:val="none"/>
        </w:rPr>
        <w:t xml:space="preserve"> на основании заявки о потребности в бюджетных ассигнованиях </w:t>
        <w:br/>
        <w:t xml:space="preserve">с приложением документов, указанных в части </w:t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 настоящих Правил.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Условиями предоставления иных межбюджетных трансфертов являются:</w:t>
      </w:r>
      <w:bookmarkStart w:id="4" w:name="P7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jc w:val="both"/>
        <w:rPr>
          <w:sz w:val="28"/>
          <w:szCs w:val="28"/>
          <w:highlight w:val="none"/>
        </w:rPr>
      </w:pPr>
      <w:r>
        <w:rPr>
          <w:highlight w:val="none"/>
        </w:rPr>
      </w:r>
      <w:bookmarkEnd w:id="4"/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none"/>
        </w:rPr>
        <w:t xml:space="preserve">наличие у муниципального образования утвержденног</w:t>
      </w:r>
      <w:r>
        <w:rPr>
          <w:sz w:val="28"/>
          <w:szCs w:val="28"/>
          <w:highlight w:val="none"/>
        </w:rPr>
        <w:t xml:space="preserve">о перечня многоквартирных домов, признанных в установленном законодательством порядке аварийным и подлежащим сносу или реконструкции, в отношении которых необходимо проведение мониторинга технического состояния в целях предотвращения чрезвычайных ситуаций;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left="0" w:right="0" w:firstLine="709"/>
        <w:jc w:val="both"/>
        <w:rPr>
          <w:highlight w:val="none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</w:r>
      <w:bookmarkStart w:id="5" w:name="P71"/>
      <w:r/>
      <w:bookmarkEnd w:id="5"/>
      <w:r>
        <w:rPr>
          <w:rFonts w:cs="Times New Roman"/>
          <w:sz w:val="28"/>
          <w:szCs w:val="28"/>
          <w:lang w:val="ru-RU" w:eastAsia="ru-RU" w:bidi="ar-SA"/>
        </w:rPr>
        <w:t xml:space="preserve">наличие утвержденного муниципального правового акта муниципального образования, устанавливающего расходное обязательство, на исполнение которого предоставляется иной межбюджетный трансферт;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 наличие в бюджете муниципального образования бюджетных ассигнований на софинансирование указанного расходного обязательства;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left="0" w:right="0" w:firstLine="709"/>
        <w:jc w:val="both"/>
        <w:rPr>
          <w:highlight w:val="none"/>
        </w:rPr>
      </w:pPr>
      <w:r>
        <w:rPr>
          <w:sz w:val="28"/>
          <w:szCs w:val="28"/>
        </w:rPr>
        <w:t xml:space="preserve">4) заключение соглашения о предоставлении иных межбюджетных трансфертов между Министерством и муниципальным образованием </w:t>
        <w:br/>
        <w:t xml:space="preserve">в соответствии с частью 9</w:t>
      </w:r>
      <w:r>
        <w:rPr>
          <w:sz w:val="28"/>
          <w:szCs w:val="28"/>
        </w:rPr>
        <w:t xml:space="preserve"> настоящих Правил.</w:t>
      </w:r>
      <w:bookmarkStart w:id="7" w:name="P73"/>
      <w:r>
        <w:rPr>
          <w:highlight w:val="none"/>
        </w:rPr>
      </w:r>
      <w:r>
        <w:rPr>
          <w:highlight w:val="none"/>
        </w:rPr>
      </w:r>
    </w:p>
    <w:p>
      <w:pPr>
        <w:pStyle w:val="909"/>
        <w:ind w:left="0" w:right="0" w:firstLine="709"/>
        <w:jc w:val="both"/>
        <w:rPr>
          <w:sz w:val="28"/>
          <w:szCs w:val="28"/>
          <w:highlight w:val="none"/>
        </w:rPr>
      </w:pPr>
      <w:r/>
      <w:bookmarkEnd w:id="7"/>
      <w:r>
        <w:rPr>
          <w:sz w:val="28"/>
          <w:szCs w:val="28"/>
        </w:rPr>
        <w:t xml:space="preserve">6. Предоставление иных межбюджетных трансфертов осуществляется на основании Соглашения, указанного в </w:t>
      </w:r>
      <w:r>
        <w:rPr>
          <w:sz w:val="28"/>
          <w:szCs w:val="28"/>
          <w:highlight w:val="none"/>
        </w:rPr>
        <w:t xml:space="preserve">пункте 4 части 5 </w:t>
      </w:r>
      <w:r>
        <w:rPr>
          <w:sz w:val="28"/>
          <w:szCs w:val="28"/>
        </w:rPr>
        <w:t xml:space="preserve">настоящих Правил, зак</w:t>
      </w:r>
      <w:r>
        <w:rPr>
          <w:sz w:val="28"/>
          <w:szCs w:val="28"/>
        </w:rPr>
        <w:t xml:space="preserve">люченного </w:t>
      </w:r>
      <w:r>
        <w:rPr>
          <w:sz w:val="28"/>
          <w:szCs w:val="28"/>
        </w:rPr>
        <w:t xml:space="preserve">в соответствии с типовой формой соглашения, утвержденной Министерством финансов Камчатского края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соглашение).</w:t>
      </w:r>
      <w:bookmarkStart w:id="8" w:name="P74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5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/>
          <w:b w:val="0"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Уровень софинансирования расходного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обязательства муниципального образования, в целях софинансирования которого предоставляется иной межбюджетный трансферт, за счет средств краевого бюджета составляет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99 процентов от объема соответствующего расходного обязательства Муниципального образования.</w:t>
      </w: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885"/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8. Размер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 иных межбюджетных трансфертов (Pi), предоставляемых бюджету (i) муниципального образования из краевого бюджета </w:t>
        <w:br/>
      </w:r>
      <w:r>
        <w:rPr>
          <w:rFonts w:ascii="Times New Roman" w:hAnsi="Times New Roman"/>
          <w:sz w:val="28"/>
          <w:szCs w:val="28"/>
          <w:highlight w:val="none"/>
        </w:rPr>
        <w:t xml:space="preserve">на софинансирование </w:t>
      </w:r>
      <w:r>
        <w:rPr>
          <w:rFonts w:ascii="Times New Roman" w:hAnsi="Times New Roman"/>
          <w:sz w:val="28"/>
          <w:szCs w:val="28"/>
          <w:highlight w:val="none"/>
        </w:rPr>
        <w:t xml:space="preserve">мероприятий по </w:t>
      </w:r>
      <w:r>
        <w:rPr>
          <w:rFonts w:ascii="Times New Roman" w:hAnsi="Times New Roman"/>
          <w:sz w:val="28"/>
          <w:szCs w:val="28"/>
          <w:highlight w:val="none"/>
        </w:rPr>
        <w:t xml:space="preserve">мониторингу </w:t>
      </w:r>
      <w:r>
        <w:rPr>
          <w:rFonts w:ascii="Times New Roman" w:hAnsi="Times New Roman"/>
          <w:sz w:val="28"/>
          <w:szCs w:val="28"/>
          <w:highlight w:val="none"/>
        </w:rPr>
        <w:t xml:space="preserve">технического состояния многоквартирных домов, признанных аварийными и подлежащими сносу </w:t>
        <w:br/>
        <w:t xml:space="preserve">или реконструкции, </w:t>
      </w:r>
      <w:r>
        <w:rPr>
          <w:rFonts w:ascii="Times New Roman" w:hAnsi="Times New Roman"/>
          <w:sz w:val="28"/>
          <w:szCs w:val="28"/>
          <w:highlight w:val="none"/>
        </w:rPr>
        <w:t xml:space="preserve">направленному на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предотвращение чрезвычайных ситуаций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, рассчитывается по формуле: </w:t>
      </w:r>
      <w:r>
        <w:rPr>
          <w:highlight w:val="none"/>
        </w:rPr>
      </w:r>
      <w:r>
        <w:rPr>
          <w:highlight w:val="none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 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5"/>
        <w:ind w:left="0" w:righ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Pi = Пi х 0,99</w:t>
      </w:r>
      <w:r>
        <w:rPr>
          <w:rFonts w:ascii="Times New Roman" w:hAnsi="Times New Roman"/>
          <w:sz w:val="28"/>
          <w:szCs w:val="28"/>
          <w:highlight w:val="none"/>
        </w:rPr>
        <w:t xml:space="preserve">, где: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 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Пi – общая потребность в бюджетных средствах на реализацию цели, предусмотренной частью 2 настоящих Правил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Общая потребность в бюджетных средствах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Пi)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рассчитывается </w:t>
        <w:br/>
        <w:t xml:space="preserve">по формуле: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5"/>
        <w:ind w:left="0" w:right="0" w:firstLine="0"/>
        <w:jc w:val="center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  <w:vertAlign w:val="baseli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Пi = Si x C</w:t>
      </w:r>
      <w:r>
        <w:rPr>
          <w:rFonts w:ascii="Times New Roman" w:hAnsi="Times New Roman"/>
          <w:b w:val="0"/>
          <w:sz w:val="28"/>
          <w:szCs w:val="28"/>
          <w:highlight w:val="none"/>
          <w:vertAlign w:val="subscript"/>
        </w:rPr>
        <w:t xml:space="preserve">кв.м.</w:t>
      </w:r>
      <w:r>
        <w:rPr>
          <w:rFonts w:ascii="Times New Roman" w:hAnsi="Times New Roman"/>
          <w:b w:val="0"/>
          <w:sz w:val="28"/>
          <w:szCs w:val="28"/>
          <w:highlight w:val="none"/>
          <w:vertAlign w:val="baseline"/>
        </w:rPr>
        <w:t xml:space="preserve">, где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vertAlign w:val="baseli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vertAlign w:val="baseline"/>
        </w:rPr>
      </w:r>
    </w:p>
    <w:p>
      <w:pPr>
        <w:pStyle w:val="885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vertAlign w:val="baseli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Si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 – общая площадь многоквартирных домов, подлежащих мониторингу на территории муниципального образования, кв. метров;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C</w:t>
      </w:r>
      <w:r>
        <w:rPr>
          <w:rFonts w:ascii="Times New Roman" w:hAnsi="Times New Roman"/>
          <w:b w:val="0"/>
          <w:sz w:val="28"/>
          <w:szCs w:val="28"/>
          <w:highlight w:val="none"/>
          <w:vertAlign w:val="subscript"/>
        </w:rPr>
        <w:t xml:space="preserve">кв.м.</w:t>
      </w:r>
      <w:r>
        <w:rPr>
          <w:rFonts w:ascii="Times New Roman" w:hAnsi="Times New Roman"/>
          <w:b w:val="0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 стоимость мониторинга технического состояния строительных конструкций в расчете на 1 квадратный метр общей площади многоквартирного дома, определяемая в соответствии с заявкой муниципального образования, </w:t>
        <w:br/>
        <w:t xml:space="preserve">но не превышающая предельного значения в размере 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60 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(шестидесяти) рублей 00 коп.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highlight w:val="none"/>
          <w:vertAlign w:val="baseli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В случае, если фактическая стоимость мониторинга превышает установленное предельное значение, сумма превышения софинансированию из краевого бюджета не подлежит и обеспечивается муниципальным образованием самостоятельно. 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09"/>
        <w:ind w:left="0" w:right="0" w:firstLine="709"/>
        <w:jc w:val="both"/>
        <w:rPr>
          <w:sz w:val="28"/>
          <w:szCs w:val="28"/>
          <w:highlight w:val="none"/>
        </w:rPr>
      </w:pPr>
      <w:r/>
      <w:bookmarkEnd w:id="8"/>
      <w:r>
        <w:rPr>
          <w:sz w:val="28"/>
          <w:szCs w:val="28"/>
        </w:rPr>
        <w:t xml:space="preserve">9. В целях заключения соглашения муниципальные образования представляют в Министерство следующие документы: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left="0" w:righ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1) реестр аварийных многоквартирных домов, подлежащих мониторингу, расположенных на территории муниципального образования, с указанием реквизитов правового акта о признании таких домов аварийными и подлежащими сносу или реконструкции;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09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финансово-экономическое обоснование потребности 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в бюджетных средствах на реализацию цели, предусмотренной частью 2 настоящих Правил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копию сметной документации на проведение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/>
          <w:sz w:val="28"/>
          <w:szCs w:val="28"/>
        </w:rPr>
        <w:t xml:space="preserve"> технического состояния многоквартирных домов, признанных аварийными и подлежащими сносу </w:t>
      </w:r>
      <w:r>
        <w:rPr>
          <w:rFonts w:ascii="Times New Roman" w:hAnsi="Times New Roman"/>
          <w:sz w:val="28"/>
          <w:szCs w:val="28"/>
        </w:rPr>
        <w:t xml:space="preserve">или реконструкции.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Перечисление иных межбюджетных трансфертов осуществляется на единый счет бюджета, открытый финансовому органу муниципального образования в территориальном органе Федерального казначейства.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11. Результатом предоставления иных межбюджетных тр</w:t>
      </w:r>
      <w:r>
        <w:rPr>
          <w:sz w:val="28"/>
          <w:szCs w:val="28"/>
        </w:rPr>
        <w:t xml:space="preserve">ансфертов является количество многоквартирных домов, признанных аварийными </w:t>
        <w:br/>
        <w:t xml:space="preserve">и подлежащими сносу или реконструкции, в отношении которых проведен </w:t>
      </w:r>
      <w:r>
        <w:rPr>
          <w:rFonts w:ascii="Times New Roman" w:hAnsi="Times New Roman"/>
          <w:sz w:val="28"/>
          <w:szCs w:val="28"/>
          <w:highlight w:val="none"/>
        </w:rPr>
        <w:t xml:space="preserve">мониторинг </w:t>
      </w:r>
      <w:r>
        <w:rPr>
          <w:rFonts w:ascii="Times New Roman" w:hAnsi="Times New Roman"/>
          <w:sz w:val="28"/>
          <w:szCs w:val="28"/>
          <w:highlight w:val="none"/>
        </w:rPr>
        <w:t xml:space="preserve">технического состояния </w:t>
      </w:r>
      <w:r>
        <w:rPr>
          <w:sz w:val="28"/>
          <w:szCs w:val="28"/>
        </w:rPr>
        <w:t xml:space="preserve">и получены экспертные заключения.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left="0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Результат предоставления иных межбюджетных трансфертов</w:t>
      </w:r>
      <w:r>
        <w:rPr>
          <w:sz w:val="28"/>
          <w:szCs w:val="28"/>
        </w:rPr>
        <w:t xml:space="preserve"> устанавливается в соглашении.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12. Оценка эффективности предоставления иных межбюджетных трансфертов осуществляется Министерс</w:t>
      </w:r>
      <w:r>
        <w:rPr>
          <w:sz w:val="28"/>
          <w:szCs w:val="28"/>
        </w:rPr>
        <w:t xml:space="preserve">твом путем сравнения установленных соглашением плановых значений результатов предоставления иных межбюджетных трансфертов и фактически достигнутых значений указанных результатов по итогам финансового года.</w:t>
      </w:r>
      <w:bookmarkStart w:id="9" w:name="P8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jc w:val="both"/>
        <w:spacing w:before="0" w:after="0" w:line="240" w:lineRule="auto"/>
        <w:rPr>
          <w:sz w:val="28"/>
          <w:szCs w:val="28"/>
        </w:rPr>
      </w:pPr>
      <w:r/>
      <w:bookmarkEnd w:id="9"/>
      <w:r>
        <w:rPr>
          <w:sz w:val="28"/>
          <w:szCs w:val="28"/>
        </w:rPr>
        <w:t xml:space="preserve">13. Сроки, порядок и формы </w:t>
      </w:r>
      <w:r>
        <w:rPr>
          <w:sz w:val="28"/>
          <w:szCs w:val="28"/>
        </w:rPr>
        <w:t xml:space="preserve">отчетов о расходах бюджета муниципального образования, в целях софинансирования которых предоставляются иные межбюджетные трансферты, и о достижении значений результатов их предоставления определяются соглашением.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jc w:val="both"/>
      </w:pPr>
      <w:r>
        <w:rPr>
          <w:sz w:val="28"/>
          <w:szCs w:val="28"/>
        </w:rPr>
        <w:t xml:space="preserve">14. Ответственность за достоверность предос</w:t>
      </w:r>
      <w:r>
        <w:rPr>
          <w:sz w:val="28"/>
          <w:szCs w:val="28"/>
        </w:rPr>
        <w:t xml:space="preserve">тавляемых в Министерство  документов, указанных в части 9 настоящих Правил, а также сведений, содержащихся в предоставляемых отчетах в соответствии с частью 12 настоящих Правил, возлагается на </w:t>
      </w:r>
      <w:r>
        <w:rPr>
          <w:rStyle w:val="883"/>
          <w:b w:val="0"/>
          <w:bCs w:val="0"/>
          <w:sz w:val="28"/>
          <w:szCs w:val="28"/>
        </w:rPr>
        <w:t xml:space="preserve">главу муниципального образования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 уполномоченное должностное лицо местного самоуправления).</w:t>
      </w:r>
      <w:r/>
    </w:p>
    <w:p>
      <w:pPr>
        <w:pStyle w:val="909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Не использованные по состоянию на 1 января текущего финансового года иные межбюджетные трансферты подлежат возврату в краевой бюджет </w:t>
        <w:br/>
        <w:t xml:space="preserve">в соответствии с требованиями, установленными бюджетным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 сл</w:t>
      </w:r>
      <w:r>
        <w:rPr>
          <w:sz w:val="28"/>
          <w:szCs w:val="28"/>
        </w:rPr>
        <w:t xml:space="preserve">учае если неиспользованный остаток иных межбюджетных трансфертов не перечислен в краевой бюджет в срок, установленный бюджетным законодательством Российской Федерации, указанные средства подлежат взысканию в доход краевого бюджета в соответствии с требованиями бюджетного законодательства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случае нецелевого использования иных межбюджетных трансфертов муниципальным образованием применяются бюджетные меры принуждения, предусмотренные бюджетным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18. Контроль за </w:t>
      </w:r>
      <w:r>
        <w:rPr>
          <w:sz w:val="28"/>
          <w:szCs w:val="28"/>
        </w:rPr>
        <w:t xml:space="preserve">соблюдением муниципальным образованием целей и условий предоставления иных межбюджетных трансфертов осуществляется Министерством и органами государственного финансового контроля Камчатского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Arial">
    <w:panose1 w:val="020B0604020202020204"/>
  </w:font>
  <w:font w:name="Segoe UI">
    <w:panose1 w:val="020B0502040504020204"/>
  </w:font>
  <w:font w:name="XO Thames">
    <w:panose1 w:val="02000603000000000000"/>
  </w:font>
  <w:font w:name="Calibri">
    <w:panose1 w:val="020F050202020403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8"/>
    <w:link w:val="85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6">
    <w:name w:val="Heading 2 Char"/>
    <w:basedOn w:val="858"/>
    <w:link w:val="854"/>
    <w:uiPriority w:val="9"/>
    <w:rPr>
      <w:rFonts w:ascii="Liberation Sans" w:hAnsi="Liberation Sans" w:eastAsia="Liberation Sans" w:cs="Liberation Sans"/>
      <w:sz w:val="34"/>
    </w:rPr>
  </w:style>
  <w:style w:type="character" w:styleId="697">
    <w:name w:val="Heading 3 Char"/>
    <w:basedOn w:val="858"/>
    <w:link w:val="85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8">
    <w:name w:val="Heading 4 Char"/>
    <w:basedOn w:val="858"/>
    <w:link w:val="85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9">
    <w:name w:val="Heading 5 Char"/>
    <w:basedOn w:val="858"/>
    <w:link w:val="85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0">
    <w:name w:val="Heading 6"/>
    <w:basedOn w:val="852"/>
    <w:next w:val="852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1">
    <w:name w:val="Heading 6 Char"/>
    <w:basedOn w:val="858"/>
    <w:link w:val="70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2">
    <w:name w:val="Heading 7"/>
    <w:basedOn w:val="852"/>
    <w:next w:val="85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3">
    <w:name w:val="Heading 7 Char"/>
    <w:basedOn w:val="858"/>
    <w:link w:val="70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4">
    <w:name w:val="Heading 8"/>
    <w:basedOn w:val="852"/>
    <w:next w:val="852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5">
    <w:name w:val="Heading 8 Char"/>
    <w:basedOn w:val="858"/>
    <w:link w:val="70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6">
    <w:name w:val="Heading 9"/>
    <w:basedOn w:val="852"/>
    <w:next w:val="852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7">
    <w:name w:val="Heading 9 Char"/>
    <w:basedOn w:val="858"/>
    <w:link w:val="70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8">
    <w:name w:val="List Paragraph"/>
    <w:basedOn w:val="852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character" w:styleId="710">
    <w:name w:val="Title Char"/>
    <w:basedOn w:val="858"/>
    <w:link w:val="906"/>
    <w:uiPriority w:val="10"/>
    <w:rPr>
      <w:sz w:val="48"/>
      <w:szCs w:val="48"/>
    </w:rPr>
  </w:style>
  <w:style w:type="character" w:styleId="711">
    <w:name w:val="Subtitle Char"/>
    <w:basedOn w:val="858"/>
    <w:link w:val="904"/>
    <w:uiPriority w:val="11"/>
    <w:rPr>
      <w:sz w:val="24"/>
      <w:szCs w:val="24"/>
    </w:rPr>
  </w:style>
  <w:style w:type="paragraph" w:styleId="712">
    <w:name w:val="Quote"/>
    <w:basedOn w:val="852"/>
    <w:next w:val="85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2"/>
    <w:next w:val="85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8"/>
    <w:link w:val="892"/>
    <w:uiPriority w:val="99"/>
  </w:style>
  <w:style w:type="character" w:styleId="717">
    <w:name w:val="Footer Char"/>
    <w:basedOn w:val="858"/>
    <w:link w:val="905"/>
    <w:uiPriority w:val="99"/>
  </w:style>
  <w:style w:type="character" w:styleId="718">
    <w:name w:val="Caption Char"/>
    <w:basedOn w:val="858"/>
    <w:link w:val="88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2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7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8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3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2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58"/>
    <w:uiPriority w:val="99"/>
    <w:unhideWhenUsed/>
    <w:rPr>
      <w:vertAlign w:val="superscript"/>
    </w:rPr>
  </w:style>
  <w:style w:type="paragraph" w:styleId="847">
    <w:name w:val="endnote text"/>
    <w:basedOn w:val="852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58"/>
    <w:uiPriority w:val="99"/>
    <w:semiHidden/>
    <w:unhideWhenUsed/>
    <w:rPr>
      <w:vertAlign w:val="superscript"/>
    </w:r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link w:val="859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853">
    <w:name w:val="Heading 1"/>
    <w:next w:val="852"/>
    <w:link w:val="869"/>
    <w:uiPriority w:val="9"/>
    <w:qFormat/>
    <w:pPr>
      <w:jc w:val="both"/>
      <w:spacing w:before="120" w:after="12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ru-RU" w:bidi="ar-SA"/>
    </w:rPr>
  </w:style>
  <w:style w:type="paragraph" w:styleId="854">
    <w:name w:val="Heading 2"/>
    <w:next w:val="852"/>
    <w:link w:val="882"/>
    <w:uiPriority w:val="9"/>
    <w:qFormat/>
    <w:pPr>
      <w:jc w:val="both"/>
      <w:spacing w:before="120" w:after="12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855">
    <w:name w:val="Heading 3"/>
    <w:next w:val="852"/>
    <w:link w:val="865"/>
    <w:uiPriority w:val="9"/>
    <w:qFormat/>
    <w:pPr>
      <w:jc w:val="both"/>
      <w:spacing w:before="120" w:after="12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ru-RU" w:bidi="ar-SA"/>
    </w:rPr>
  </w:style>
  <w:style w:type="paragraph" w:styleId="856">
    <w:name w:val="Heading 4"/>
    <w:next w:val="852"/>
    <w:link w:val="881"/>
    <w:uiPriority w:val="9"/>
    <w:qFormat/>
    <w:pPr>
      <w:jc w:val="both"/>
      <w:spacing w:before="120" w:after="12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857">
    <w:name w:val="Heading 5"/>
    <w:next w:val="852"/>
    <w:link w:val="868"/>
    <w:uiPriority w:val="9"/>
    <w:qFormat/>
    <w:pPr>
      <w:jc w:val="both"/>
      <w:spacing w:before="120" w:after="12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character" w:styleId="858" w:default="1">
    <w:name w:val="Default Paragraph Font"/>
    <w:uiPriority w:val="1"/>
    <w:semiHidden/>
    <w:unhideWhenUsed/>
    <w:qFormat/>
  </w:style>
  <w:style w:type="character" w:styleId="859" w:customStyle="1">
    <w:name w:val="Обычный1"/>
    <w:qFormat/>
  </w:style>
  <w:style w:type="character" w:styleId="860" w:customStyle="1">
    <w:name w:val="Оглавление 2 Знак"/>
    <w:qFormat/>
    <w:rPr>
      <w:rFonts w:ascii="XO Thames" w:hAnsi="XO Thames"/>
      <w:sz w:val="28"/>
    </w:rPr>
  </w:style>
  <w:style w:type="character" w:styleId="861" w:customStyle="1">
    <w:name w:val="Оглавление 4 Знак"/>
    <w:qFormat/>
    <w:rPr>
      <w:rFonts w:ascii="XO Thames" w:hAnsi="XO Thames"/>
      <w:sz w:val="28"/>
    </w:rPr>
  </w:style>
  <w:style w:type="character" w:styleId="862" w:customStyle="1">
    <w:name w:val="Верхний колонтитул Знак"/>
    <w:basedOn w:val="859"/>
    <w:uiPriority w:val="99"/>
    <w:qFormat/>
  </w:style>
  <w:style w:type="character" w:styleId="863" w:customStyle="1">
    <w:name w:val="Оглавление 6 Знак"/>
    <w:qFormat/>
    <w:rPr>
      <w:rFonts w:ascii="XO Thames" w:hAnsi="XO Thames"/>
      <w:sz w:val="28"/>
    </w:rPr>
  </w:style>
  <w:style w:type="character" w:styleId="864" w:customStyle="1">
    <w:name w:val="Оглавление 7 Знак"/>
    <w:qFormat/>
    <w:rPr>
      <w:rFonts w:ascii="XO Thames" w:hAnsi="XO Thames"/>
      <w:sz w:val="28"/>
    </w:rPr>
  </w:style>
  <w:style w:type="character" w:styleId="865" w:customStyle="1">
    <w:name w:val="Заголовок 3 Знак"/>
    <w:qFormat/>
    <w:rPr>
      <w:rFonts w:ascii="XO Thames" w:hAnsi="XO Thames"/>
      <w:b/>
      <w:sz w:val="26"/>
    </w:rPr>
  </w:style>
  <w:style w:type="character" w:styleId="866" w:customStyle="1">
    <w:name w:val="Текст Знак"/>
    <w:basedOn w:val="859"/>
    <w:link w:val="895"/>
    <w:qFormat/>
    <w:rPr>
      <w:rFonts w:ascii="Calibri" w:hAnsi="Calibri"/>
    </w:rPr>
  </w:style>
  <w:style w:type="character" w:styleId="867" w:customStyle="1">
    <w:name w:val="Оглавление 3 Знак"/>
    <w:qFormat/>
    <w:rPr>
      <w:rFonts w:ascii="XO Thames" w:hAnsi="XO Thames"/>
      <w:sz w:val="28"/>
    </w:rPr>
  </w:style>
  <w:style w:type="character" w:styleId="868" w:customStyle="1">
    <w:name w:val="Заголовок 5 Знак"/>
    <w:qFormat/>
    <w:rPr>
      <w:rFonts w:ascii="XO Thames" w:hAnsi="XO Thames"/>
      <w:b/>
      <w:sz w:val="22"/>
    </w:rPr>
  </w:style>
  <w:style w:type="character" w:styleId="869" w:customStyle="1">
    <w:name w:val="Заголовок 1 Знак"/>
    <w:qFormat/>
    <w:rPr>
      <w:rFonts w:ascii="XO Thames" w:hAnsi="XO Thames"/>
      <w:b/>
      <w:sz w:val="32"/>
    </w:rPr>
  </w:style>
  <w:style w:type="character" w:styleId="870">
    <w:name w:val="Hyperlink"/>
    <w:basedOn w:val="858"/>
    <w:link w:val="897"/>
    <w:rPr>
      <w:color w:val="0563c1" w:themeColor="hyperlink"/>
      <w:u w:val="single"/>
    </w:rPr>
  </w:style>
  <w:style w:type="character" w:styleId="871" w:customStyle="1">
    <w:name w:val="Footnote"/>
    <w:link w:val="898"/>
    <w:qFormat/>
    <w:rPr>
      <w:rFonts w:ascii="XO Thames" w:hAnsi="XO Thames"/>
      <w:sz w:val="22"/>
    </w:rPr>
  </w:style>
  <w:style w:type="character" w:styleId="872" w:customStyle="1">
    <w:name w:val="Оглавление 1 Знак"/>
    <w:qFormat/>
    <w:rPr>
      <w:rFonts w:ascii="XO Thames" w:hAnsi="XO Thames"/>
      <w:b/>
      <w:sz w:val="28"/>
    </w:rPr>
  </w:style>
  <w:style w:type="character" w:styleId="873" w:customStyle="1">
    <w:name w:val="Header and Footer"/>
    <w:qFormat/>
    <w:rPr>
      <w:rFonts w:ascii="XO Thames" w:hAnsi="XO Thames"/>
      <w:sz w:val="20"/>
    </w:rPr>
  </w:style>
  <w:style w:type="character" w:styleId="874" w:customStyle="1">
    <w:name w:val="Оглавление 9 Знак"/>
    <w:qFormat/>
    <w:rPr>
      <w:rFonts w:ascii="XO Thames" w:hAnsi="XO Thames"/>
      <w:sz w:val="28"/>
    </w:rPr>
  </w:style>
  <w:style w:type="character" w:styleId="875" w:customStyle="1">
    <w:name w:val="Оглавление 8 Знак"/>
    <w:qFormat/>
    <w:rPr>
      <w:rFonts w:ascii="XO Thames" w:hAnsi="XO Thames"/>
      <w:sz w:val="28"/>
    </w:rPr>
  </w:style>
  <w:style w:type="character" w:styleId="876" w:customStyle="1">
    <w:name w:val="Оглавление 5 Знак"/>
    <w:qFormat/>
    <w:rPr>
      <w:rFonts w:ascii="XO Thames" w:hAnsi="XO Thames"/>
      <w:sz w:val="28"/>
    </w:rPr>
  </w:style>
  <w:style w:type="character" w:styleId="877" w:customStyle="1">
    <w:name w:val="Подзаголовок Знак"/>
    <w:qFormat/>
    <w:rPr>
      <w:rFonts w:ascii="XO Thames" w:hAnsi="XO Thames"/>
      <w:i/>
      <w:sz w:val="24"/>
    </w:rPr>
  </w:style>
  <w:style w:type="character" w:styleId="878" w:customStyle="1">
    <w:name w:val="Нижний колонтитул Знак"/>
    <w:basedOn w:val="859"/>
    <w:qFormat/>
    <w:rPr>
      <w:rFonts w:ascii="Times New Roman" w:hAnsi="Times New Roman"/>
      <w:sz w:val="28"/>
    </w:rPr>
  </w:style>
  <w:style w:type="character" w:styleId="879" w:customStyle="1">
    <w:name w:val="Название Знак"/>
    <w:qFormat/>
    <w:rPr>
      <w:rFonts w:ascii="XO Thames" w:hAnsi="XO Thames"/>
      <w:b/>
      <w:caps/>
      <w:sz w:val="40"/>
    </w:rPr>
  </w:style>
  <w:style w:type="character" w:styleId="880" w:customStyle="1">
    <w:name w:val="Текст выноски Знак"/>
    <w:basedOn w:val="859"/>
    <w:link w:val="907"/>
    <w:qFormat/>
    <w:rPr>
      <w:rFonts w:ascii="Segoe UI" w:hAnsi="Segoe UI"/>
      <w:sz w:val="18"/>
    </w:rPr>
  </w:style>
  <w:style w:type="character" w:styleId="881" w:customStyle="1">
    <w:name w:val="Заголовок 4 Знак"/>
    <w:qFormat/>
    <w:rPr>
      <w:rFonts w:ascii="XO Thames" w:hAnsi="XO Thames"/>
      <w:b/>
      <w:sz w:val="24"/>
    </w:rPr>
  </w:style>
  <w:style w:type="character" w:styleId="882" w:customStyle="1">
    <w:name w:val="Заголовок 2 Знак"/>
    <w:qFormat/>
    <w:rPr>
      <w:rFonts w:ascii="XO Thames" w:hAnsi="XO Thames"/>
      <w:b/>
      <w:sz w:val="28"/>
    </w:rPr>
  </w:style>
  <w:style w:type="character" w:styleId="883">
    <w:name w:val="Strong"/>
    <w:qFormat/>
    <w:rPr>
      <w:b/>
      <w:bCs/>
    </w:rPr>
  </w:style>
  <w:style w:type="paragraph" w:styleId="884">
    <w:name w:val="Заголовок"/>
    <w:basedOn w:val="852"/>
    <w:next w:val="88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5">
    <w:name w:val="Body Text"/>
    <w:basedOn w:val="852"/>
    <w:pPr>
      <w:spacing w:before="0" w:after="140" w:line="276" w:lineRule="auto"/>
    </w:pPr>
  </w:style>
  <w:style w:type="paragraph" w:styleId="886">
    <w:name w:val="List"/>
    <w:basedOn w:val="885"/>
    <w:rPr>
      <w:rFonts w:cs="Arial"/>
    </w:rPr>
  </w:style>
  <w:style w:type="paragraph" w:styleId="887">
    <w:name w:val="Caption"/>
    <w:basedOn w:val="852"/>
    <w:link w:val="71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8">
    <w:name w:val="Указатель"/>
    <w:basedOn w:val="852"/>
    <w:qFormat/>
    <w:pPr>
      <w:suppressLineNumbers/>
    </w:pPr>
    <w:rPr>
      <w:rFonts w:cs="Arial"/>
    </w:rPr>
  </w:style>
  <w:style w:type="paragraph" w:styleId="889">
    <w:name w:val="toc 2"/>
    <w:next w:val="852"/>
    <w:link w:val="860"/>
    <w:uiPriority w:val="39"/>
    <w:pPr>
      <w:ind w:left="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90">
    <w:name w:val="toc 4"/>
    <w:next w:val="852"/>
    <w:link w:val="861"/>
    <w:uiPriority w:val="39"/>
    <w:pPr>
      <w:ind w:left="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91" w:customStyle="1">
    <w:name w:val="Колонтитул"/>
    <w:qFormat/>
    <w:pPr>
      <w:jc w:val="both"/>
      <w:spacing w:before="0" w:after="160" w:line="240" w:lineRule="auto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ru-RU" w:bidi="ar-SA"/>
    </w:rPr>
  </w:style>
  <w:style w:type="paragraph" w:styleId="892">
    <w:name w:val="Header"/>
    <w:basedOn w:val="852"/>
    <w:link w:val="862"/>
    <w:uiPriority w:val="99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93">
    <w:name w:val="toc 6"/>
    <w:next w:val="852"/>
    <w:link w:val="863"/>
    <w:uiPriority w:val="39"/>
    <w:pPr>
      <w:ind w:left="10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94">
    <w:name w:val="toc 7"/>
    <w:next w:val="852"/>
    <w:link w:val="864"/>
    <w:uiPriority w:val="39"/>
    <w:pPr>
      <w:ind w:left="1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95">
    <w:name w:val="Plain Text"/>
    <w:basedOn w:val="852"/>
    <w:link w:val="866"/>
    <w:qFormat/>
    <w:pPr>
      <w:spacing w:before="0" w:after="0" w:line="240" w:lineRule="auto"/>
    </w:pPr>
    <w:rPr>
      <w:rFonts w:ascii="Calibri" w:hAnsi="Calibri"/>
    </w:rPr>
  </w:style>
  <w:style w:type="paragraph" w:styleId="896">
    <w:name w:val="toc 3"/>
    <w:next w:val="852"/>
    <w:link w:val="867"/>
    <w:uiPriority w:val="39"/>
    <w:pPr>
      <w:ind w:left="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97" w:customStyle="1">
    <w:name w:val="Гиперссылка1"/>
    <w:basedOn w:val="900"/>
    <w:qFormat/>
    <w:rPr>
      <w:color w:val="0563c1" w:themeColor="hyperlink"/>
      <w:u w:val="single"/>
    </w:rPr>
  </w:style>
  <w:style w:type="paragraph" w:styleId="898" w:customStyle="1">
    <w:name w:val="Footnote1"/>
    <w:link w:val="871"/>
    <w:qFormat/>
    <w:pPr>
      <w:ind w:firstLine="851"/>
      <w:jc w:val="both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899">
    <w:name w:val="toc 1"/>
    <w:next w:val="852"/>
    <w:link w:val="872"/>
    <w:uiPriority w:val="39"/>
    <w:pPr>
      <w:jc w:val="left"/>
      <w:spacing w:before="0" w:after="16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900" w:customStyle="1">
    <w:name w:val="Основной шрифт абзаца1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901">
    <w:name w:val="toc 9"/>
    <w:next w:val="852"/>
    <w:link w:val="874"/>
    <w:uiPriority w:val="39"/>
    <w:pPr>
      <w:ind w:left="1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02">
    <w:name w:val="toc 8"/>
    <w:next w:val="852"/>
    <w:link w:val="875"/>
    <w:uiPriority w:val="39"/>
    <w:pPr>
      <w:ind w:left="1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03">
    <w:name w:val="toc 5"/>
    <w:next w:val="852"/>
    <w:link w:val="876"/>
    <w:uiPriority w:val="39"/>
    <w:pPr>
      <w:ind w:left="8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904">
    <w:name w:val="Subtitle"/>
    <w:next w:val="852"/>
    <w:link w:val="877"/>
    <w:uiPriority w:val="11"/>
    <w:qFormat/>
    <w:pPr>
      <w:jc w:val="both"/>
      <w:spacing w:before="0" w:after="16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ru-RU" w:bidi="ar-SA"/>
    </w:rPr>
  </w:style>
  <w:style w:type="paragraph" w:styleId="905">
    <w:name w:val="Footer"/>
    <w:basedOn w:val="852"/>
    <w:link w:val="878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906">
    <w:name w:val="Title"/>
    <w:next w:val="852"/>
    <w:link w:val="879"/>
    <w:uiPriority w:val="10"/>
    <w:qFormat/>
    <w:pPr>
      <w:jc w:val="center"/>
      <w:spacing w:before="567" w:after="567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ru-RU" w:bidi="ar-SA"/>
    </w:rPr>
  </w:style>
  <w:style w:type="paragraph" w:styleId="907">
    <w:name w:val="Balloon Text"/>
    <w:basedOn w:val="852"/>
    <w:link w:val="880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908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b/>
      <w:color w:val="000000"/>
      <w:sz w:val="24"/>
      <w:szCs w:val="20"/>
      <w:lang w:val="ru-RU" w:eastAsia="ru-RU" w:bidi="ar-SA"/>
    </w:rPr>
  </w:style>
  <w:style w:type="paragraph" w:styleId="909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0"/>
      <w:lang w:val="ru-RU" w:eastAsia="ru-RU" w:bidi="ar-SA"/>
    </w:rPr>
  </w:style>
  <w:style w:type="paragraph" w:styleId="910">
    <w:name w:val="Содержимое таблицы"/>
    <w:basedOn w:val="852"/>
    <w:qFormat/>
    <w:pPr>
      <w:widowControl w:val="off"/>
      <w:suppressLineNumbers/>
    </w:pPr>
  </w:style>
  <w:style w:type="paragraph" w:styleId="911">
    <w:name w:val="Заголовок таблицы"/>
    <w:basedOn w:val="910"/>
    <w:qFormat/>
    <w:pPr>
      <w:jc w:val="center"/>
      <w:suppressLineNumbers/>
    </w:pPr>
    <w:rPr>
      <w:b/>
      <w:bCs/>
    </w:rPr>
  </w:style>
  <w:style w:type="numbering" w:styleId="912" w:default="1">
    <w:name w:val="No List"/>
    <w:uiPriority w:val="99"/>
    <w:semiHidden/>
    <w:unhideWhenUsed/>
    <w:qFormat/>
  </w:style>
  <w:style w:type="table" w:styleId="91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4">
    <w:name w:val="Table Grid"/>
    <w:basedOn w:val="91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5" w:customStyle="1">
    <w:name w:val="Сетка таблицы1"/>
    <w:basedOn w:val="913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6" w:customStyle="1">
    <w:name w:val="Сетка таблицы2"/>
    <w:basedOn w:val="913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Дмитрий Игоревич</dc:creator>
  <dc:description/>
  <dc:language>ru-RU</dc:language>
  <cp:lastModifiedBy>balaevata</cp:lastModifiedBy>
  <cp:revision>52</cp:revision>
  <dcterms:created xsi:type="dcterms:W3CDTF">2025-01-31T01:52:00Z</dcterms:created>
  <dcterms:modified xsi:type="dcterms:W3CDTF">2026-06-21T23:48:18Z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