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МИНИСТЕРСТВО СЕЛЬСКОГО ХОЗЯЙСТВА,</w:t>
      </w:r>
      <w:r>
        <w:rPr>
          <w:rFonts w:ascii="Times New Roman" w:hAnsi="Times New Roman"/>
          <w:b/>
          <w:sz w:val="28"/>
          <w:lang w:val="ru-RU"/>
        </w:rPr>
      </w:r>
      <w:r>
        <w:rPr>
          <w:rFonts w:ascii="Times New Roman" w:hAnsi="Times New Roman"/>
          <w:b/>
          <w:sz w:val="28"/>
          <w:lang w:val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ПИЩЕВОЙ И ПЕРЕРАБАТЫВАЮЩЕЙ ПРОМЫШЛЕННОСТИ </w:t>
      </w:r>
      <w:r>
        <w:rPr>
          <w:rFonts w:ascii="Times New Roman" w:hAnsi="Times New Roman"/>
          <w:b/>
          <w:sz w:val="28"/>
          <w:lang w:val="ru-RU"/>
        </w:rPr>
      </w:r>
      <w:r>
        <w:rPr>
          <w:rFonts w:ascii="Times New Roman" w:hAnsi="Times New Roman"/>
          <w:b/>
          <w:sz w:val="28"/>
          <w:lang w:val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lang w:val="ru-RU"/>
        </w:rPr>
        <w:t xml:space="preserve">КАМЧАТСКОГО КРАЯ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2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878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W w:w="9639" w:type="dxa"/>
            <w:textDirection w:val="lrTb"/>
            <w:noWrap w:val="false"/>
          </w:tcPr>
          <w:p>
            <w:pPr>
              <w:ind w:left="3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б утверждении требований к закупаемым Министерством сельского хозяйства, пищевой и перерабатывающей промышленности Камчатского края и подведомственными ему краевыми государственными казенными, бюджетными учреждениями и государственными унитарными предприят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иями отдельным видам товаров, работ, услуг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(в том числе предельных цен товаров, работ, услуг)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Камчатского края от 06.05.2021 № 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4-П «Об утверждении Правил определения требований к закупаемым заказчиками отдельным видам товаров, работ, услуг (в том числе предельных цен товаров, работ, услуг), перечней и нормативов количества товаров, работ, услуг, их потребительских свойств и иных 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рактеристик, применяемых при расчете нормативных затрат на обеспечение функций исполнительных органов Камчатского края, подведомственных им краевых государственных казенных, бюджетных учреждений и государственных унитарных предприятий Камчатского края при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акупке ими отдельных видов товаров, работ и услуг»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ПРИКАЗЫВАЮ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1. 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Утвердить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ребования к закупаемым Министерством сельского хозяйства, пищевой и перерабатывающей промышленности Камчатского края и подведомственными ему краевыми государственными казенными, бюджетными учреждениями и государственным унитарным предприятием отдельным вид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ам товаров, работ, услуг (в том числе предельных цен товаров, работ, услуг)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включающие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отдельных видов товаров, работ, услуг, их потребительские свойствам (в том числе характеристики качества) и иные характеристики, имеющие влияние на цену отдельных видов товаров, работ, услуг (в том числе предельные цены товаров, работ, услуг)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согл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асно приложению к настоящему приказу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 Установить, что указанные в пункте 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настоящего приказа нормативы распространяются на вновь приобретаемые товары, работы и услуги (далее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материально-технические ресурсы) с учетом их наличия и норм износа.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одведомственным Министерству сельского хозяйства, пищевой и перерабатывающей промышленности Камчатского края краевым государственным казенным, бюджетным учреждениям планировать и осуществлять закупки материально-т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ехнических ресурсов для реализации полномочий в рамках закрепленных функций государствен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ного управления с учетом нормативов, утвержденных настоящим приказом, в пределах лимитов бюджетных обязательств, предусмотренных на закупку товаров, работ, услуг.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 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становить следующие особенности к отдельным видам товаров, работ, услуг: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не допускается замена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Министерством сельского хозяйства, пищевой и перерабатывающей промышленности Камчатского края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подведомственными ему краевыми государственными казенными, бюджетными учреждениями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вычислительной техники и оргтехники до истечения гарантийного срока, за исключением их замены на товары отечественного производства, в случае установления Правительством Российской Федерации запретов и (или) ограничений,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предусмотренных статьей 14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не допускается закупка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Министерством сельского хозяйства, пищевой и перерабатывающей промышленности Камчатского края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подведомственными ему краевыми государственными казенными, бюджетными учреждениями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товаров со следующими кодами в каталоге товаров, работ, услуг для обеспечения государственных и муниципальных нужд: 22.29.25.000-00000003 - 22.29.25.000-00000010 «Папка пластиковая», 22.29.25.000-00000014 - 22.29.25.000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-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00000017 «Лоток для бумаги пластиковый», 22.29.25.000-00000034 - 22.29.25.000-00000035 «Разделитель листов пластиковый», 22.29.25.000-00000036 - 22.29.25.000-00000037 «Скрепочница», 26.51.33.141-00000001 - 26.51.33.141-00000009 «Линейка» (материал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в целях совершенствования работы по экономии материально-технических ресурсов и энергосбережению, уменьшения негативного воздействия на окружающую среду, повышения экологической культуры, снижения расходов на содержание административных зданий и помещени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й;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не допускается закупка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Министерством сельского хозяйства, пищевой и перерабатывающей промышленности Камчатского края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подведомственными ему краевыми государственными казенными, бюджетными учреждениями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целях обеспечения деятельности руководителя организации, руководителей структурных подразделений, заместителей руководителей, специалистов бухгалтерии, кадров, юрисконсультов, инженеров, работников по охране труда, по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арной безопасности, делопроизводителей, секретарей, а также иных категорий работников, работа которых не носит сменный характер, бытовой техники со следующими кодами в каталоге товаров, работ, услуг для обеспечения государственных и муниципальных нужд: 27.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1.24.110-00000001 - 27.51.24.110-00000002, 27.51.24.110-00000008, 27.51.24.110-00000014, 27.51.24.110-00000020, 27.51.24.110-00000026, 27.51.24.110-00000031 «Электрочайник бытовой», 27.51.27.000-00000001 - 27.51.27.000-00000012, 27.51.27.000-00000032 - 27.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51.27.000-00000042 «Печь микроволновая», 27.51.24.120-00000001 - 27.51.24.120-00000007 «Электрокофеварки бытовые», 27.51.11.110-00000001 - 27.51.11.110-00000012, 27.51.11.110-00000025 «Холодильник бытовой».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5. 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Признать утратившим силу приказ Министерства сельского хозяйства, пищевой и перерабатывающей промышленности Камчатского края от 10.03.2025 № 4-Н «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б утверждении требований к закупаемым Министерством сельского хозяйства, пищевой и перерабатывающей промышленности Камчатского края и подведомственными ему краевыми государственными казенными, бюджетными учреждениями и государственными унитарными предприят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иями отдельным видам товаров, работ, услуг»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6. 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Контроль за исполнением настоящего приказа возложить на начальника отдела бюджетного учета, отраслевой отчетности, контроля и финансового оздоровления сельскохозяйственных организаций.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7. Настоящий приказ вступает в силу после дня его официального опубликования.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77" w:type="dxa"/>
            <w:textDirection w:val="lrTb"/>
            <w:noWrap w:val="false"/>
          </w:tcPr>
          <w:p>
            <w:pPr>
              <w:ind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11df2a"/>
              </w:rPr>
              <w:t xml:space="preserve">Исполняющий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11df2a"/>
              </w:rPr>
              <w:t xml:space="preserve">обязанности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Министр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right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Е. Н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.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Бобоева</w:t>
            </w:r>
            <w:bookmarkStart w:id="2" w:name="_GoBack"/>
            <w:r/>
            <w:bookmarkEnd w:id="2"/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r/>
      <w:r/>
    </w:p>
    <w:p>
      <w:r>
        <w:rPr>
          <w:highlight w:val="none"/>
        </w:rPr>
      </w:r>
      <w:r>
        <w:rPr>
          <w:highlight w:val="none"/>
        </w:rPr>
      </w:r>
      <w:r/>
    </w:p>
    <w:p>
      <w:pPr>
        <w:rPr>
          <w:highlight w:val="none"/>
        </w:rPr>
        <w:sectPr>
          <w:headerReference w:type="default" r:id="rId8"/>
          <w:footerReference w:type="first" r:id="rId9"/>
          <w:footnotePr/>
          <w:endnotePr/>
          <w:type w:val="nextPage"/>
          <w:pgSz w:w="11906" w:h="16838" w:orient="portrait"/>
          <w:pgMar w:top="1134" w:right="851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10205" w:right="-2" w:firstLine="0"/>
        <w:spacing w:after="0" w:line="240" w:lineRule="auto"/>
        <w:widowControl w:val="off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lang w:val="ru-RU"/>
        </w:rPr>
        <w:t xml:space="preserve">Приложение к приказу 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ind w:left="10205" w:right="-2" w:firstLine="0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ru-RU"/>
        </w:rPr>
        <w:t xml:space="preserve">Министерства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сельского хозяйства, пищевой и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перерабатывающей промышленности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Камчатского края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878"/>
        <w:tblW w:w="0" w:type="auto"/>
        <w:tblInd w:w="1022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1740"/>
        <w:gridCol w:w="486"/>
        <w:gridCol w:w="1701"/>
      </w:tblGrid>
      <w:tr>
        <w:tblPrEx/>
        <w:trPr/>
        <w:tc>
          <w:tcPr>
            <w:tcW w:w="542" w:type="dxa"/>
            <w:textDirection w:val="lrTb"/>
            <w:noWrap w:val="false"/>
          </w:tcPr>
          <w:p>
            <w:pPr>
              <w:ind w:left="-65"/>
              <w:jc w:val="right"/>
              <w:spacing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40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[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 xml:space="preserve"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 xml:space="preserve">EGDATESTAMP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 xml:space="preserve">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  <w:tc>
          <w:tcPr>
            <w:tcW w:w="486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</w:tr>
    </w:tbl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 w:val="0"/>
        <w:ind w:left="0" w:right="0"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Перечень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отдельных видов товаров, работ, услуг, их потребительские свойствам (в том числе характеристики качества) и иные характеристики, имеющие влияние на цену отдельных видов товаров, работ, услуг (в том числе предельные цены товаров, работ, услуг)</w:t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tbl>
      <w:tblPr>
        <w:tblStyle w:val="87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2268"/>
        <w:gridCol w:w="709"/>
        <w:gridCol w:w="850"/>
        <w:gridCol w:w="1843"/>
        <w:gridCol w:w="1701"/>
        <w:gridCol w:w="1843"/>
        <w:gridCol w:w="1701"/>
        <w:gridCol w:w="1276"/>
        <w:gridCol w:w="1277"/>
      </w:tblGrid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Код по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ОКПД2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Наименование отдельного вида товаров, работ, услуг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gridSpan w:val="2"/>
            <w:tcW w:w="3543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Требования к потребительским свойствам (в том числе качеству) и иным характеристикам (в том числе предельные цены товаров, работ, услуг), устан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овленные приложением 1 к Правилам</w:t>
            </w:r>
            <w:r>
              <w:rPr>
                <w:rStyle w:val="859"/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gridSpan w:val="4"/>
            <w:tcW w:w="6096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Требования к потребительским свойствам (в том числе качеству) и иным характеристикам (в том числе предельные цены товаров, работ, услуг), установленные Министерством сельского хозяйства, пищевой и перерабатывающей промышленности Камчатского края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код по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ОКЕИ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наиме-нова-ние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характеристика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значение характеристики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характеристика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значение характеристики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основание отклонения значения характеристики от установленной приложением 1 к Правилам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W w:w="1277" w:type="dxa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функциональное назначение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</w:tr>
    </w:tbl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"/>
          <w:szCs w:val="2"/>
          <w14:ligatures w14:val="none"/>
        </w:rPr>
        <w:suppressLineNumbers w:val="0"/>
      </w:pPr>
      <w:r>
        <w:rPr>
          <w:rFonts w:ascii="Times New Roman" w:hAnsi="Times New Roman" w:cs="Times New Roman"/>
          <w:sz w:val="2"/>
          <w:szCs w:val="2"/>
          <w14:ligatures w14:val="none"/>
        </w:rPr>
      </w:r>
      <w:r>
        <w:rPr>
          <w:rFonts w:ascii="Times New Roman" w:hAnsi="Times New Roman" w:cs="Times New Roman"/>
          <w:sz w:val="2"/>
          <w:szCs w:val="2"/>
          <w14:ligatures w14:val="none"/>
        </w:rPr>
      </w:r>
      <w:r>
        <w:rPr>
          <w:rFonts w:ascii="Times New Roman" w:hAnsi="Times New Roman" w:cs="Times New Roman"/>
          <w:sz w:val="2"/>
          <w:szCs w:val="2"/>
          <w14:ligatures w14:val="none"/>
        </w:rPr>
      </w:r>
    </w:p>
    <w:tbl>
      <w:tblPr>
        <w:tblStyle w:val="87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2268"/>
        <w:gridCol w:w="709"/>
        <w:gridCol w:w="850"/>
        <w:gridCol w:w="1842"/>
        <w:gridCol w:w="1701"/>
        <w:gridCol w:w="1843"/>
        <w:gridCol w:w="1701"/>
        <w:gridCol w:w="1277"/>
        <w:gridCol w:w="1276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2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Отдельные виды товаров, работ, услуг включенные в обязательный перечень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цены товаров, работ, услуг), установленные приложением 1 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039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Правилам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2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Министр, заместители Министра сельского хозяйства, пищевой и перерабатывающей промышленности Камчатского края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26.20.11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буемой продукции: ноутбуки, планшетные компьютеры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Ноутбук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039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дюйм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и тип экрана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17, глянцевый или матовый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и тип экрана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17, глянцевый или матовый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вес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вес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83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intel core i7 или аналог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intel core i7 или аналог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2931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ГГц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2553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ГБ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32 DDR4 или DDR5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32 DDR4 или DDR5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2554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ТБ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жесткого диска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HDD или SSD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жесткого диска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HDD или SSD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оптический привод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отсутствие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оптический привод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отсутствие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 модулей WiFi, Bluetooth, поддержки 3G (UMTS)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 модулей WiFi, Bluetooth, поддержки 3G (UMTS)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видеоадаптер 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дискретный или встроенный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видеоадаптер 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дискретный или встроенный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час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операционна я система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операционна я система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предустановл енное программное обеспечение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 х машин и баз данных, либо без ОС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предустановл енное программное обеспечение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 х машин и баз данных, либо без ОС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30 % от штатной численности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цена*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Планшетный компьютер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дюйм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и тип экран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13, глянцевый или матовый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и тип экран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13, глянцевый или матовый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вес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вес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ARM или аналог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ARM или аналог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2931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ГГц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0"/>
                  <w:szCs w:val="20"/>
                </w:rPr>
                <m:rPr/>
                <m:t>≥</m:t>
              </m:r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1,7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0"/>
                  <w:szCs w:val="20"/>
                </w:rPr>
                <m:rPr/>
                <m:t>≥</m:t>
              </m:r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1,7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2553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0"/>
                  <w:szCs w:val="20"/>
                </w:rPr>
                <m:rPr/>
                <m:t>≥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0"/>
                  <w:szCs w:val="20"/>
                </w:rPr>
                <m:rPr/>
                <m:t>≥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2553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0"/>
                  <w:szCs w:val="20"/>
                </w:rPr>
                <m:rPr/>
                <m:t>≥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0"/>
                  <w:szCs w:val="20"/>
                </w:rPr>
                <m:rPr/>
                <m:t>≥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 модулей Wi-Fi, Bluetooth, поддержки 3G (UMTS)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 модулей Wi-Fi, Bluetooth, поддержки 3G (UMTS)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0"/>
                  <w:szCs w:val="20"/>
                </w:rPr>
                <m:rPr/>
                <m:t>≥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0"/>
                  <w:szCs w:val="20"/>
                </w:rPr>
                <m:rPr/>
                <m:t>≥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операционная система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операционная система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предустановл енное программное обеспечение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 х машин и баз данных, либо без ОС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предустановл енное программное обеспечение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 х машин и баз данных, либо без ОС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цена*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60 000,00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60 000,00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26.20.15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Машины вычислительны 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вывода. Пояснения по требуемой продукции: компьютеры персональные настольные, рабочие станции вывода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Моноблок или системный блок и монитор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дюйм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экрана/монит 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экрана/монит 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выше intel core i7 или аналог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выше intel core i7 или аналог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2931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ГГц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2553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ГБ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32 DDR4 или DDR5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32 DDR4 или DDR5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2553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ГБ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2048 HDD и /или не более 512 SSD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2048 HDD и /или не более 512 SSD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жесткого диска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SSD и/или HDD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жесткого диска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SSD и/или HDD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оптический привод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отсутствие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оптический привод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отсутствие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видеоадаптер 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дискретный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видеоадаптер 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дискретный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операционна я система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операционна я система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предустановл енное программное обеспечение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 х машин и баз данных, либо без ОС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предустановл енное программное обеспечение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 х машин и баз данных, либо без ОС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26.20.16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Устройства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ввода или вывода данных, содержащие или не содержащие в одном корпусе запоминающие устройства. Пояснения по требуемой продукции: принтеры, сканеры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Принтер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метод печати (струйный/ла зерный)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лазерный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метод печати (струйный/ лазерный)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лазерный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цветность (цветной/чер но-белый)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цветной или черно-белый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цветность (цветной/чер но-белый)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цветной или черно-белый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максимальны й формат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максимальны й формат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л/мин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скорость печати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 20 до 40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скорость печати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 20 до 40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 дополнитель ных модулей и интерфейсов (сетевой интерфейс, устройства чтения карт памяти и так далее)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 дополнитель ных модулей и интерфейсов (сетевой интерфейс, устройства чтения карт памяти и так далее)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Сканер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закупка не осуществляется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26.20.18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Устройства периферийные с двумя или более функциями: печать данных, копирование, сканирование, прием и передача факсимильных сообщений. Пояснения по требуемой продукции: многофункцион альное устройство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МФУ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разрешение сканирования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2400 x 2400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разрешение сканирования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2400 x 2400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метод печати (струйный/ла зерный)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лазерный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метод печати (струйный/ла зерный)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лазерный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цветность (цветной/чер но-белый)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цветной или черно-белый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цветность (цветной/чер но-белый)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цветной или черно-белый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максимальны й формат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А4/А3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максимальны й формат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А4/А3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л/мин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скорость печати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 20 до 40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скорость печати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 20 до 40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 дополнитель ных модулей и интерфейсов (сетевой интерфейс, устройства чтения карт памяти и так далее)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 дополнитель ных модулей и интерфейсов (сетевой интерфейс, устройства чтения карт памяти и так далее)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26.30.11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Аппаратура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коммуникацион ная передающая с приемными устройствами. Пояснения по требуемой продукции: телефоны мобильные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Смартфон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поддерживае мые стандарты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GSM 900/1800/1900, 3G, 4G LTE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поддерживае мые стандарты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GSM 900/1800/1900, 3G, 4G LTE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операционна я система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IOS, Android, Windows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операционна я система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IOS, Android, Windows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час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 12 до 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 12 до 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метод управления (сенсорный/к нопочный)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сенсорный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метод управления (сенсорный/к нопочный)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сенсорный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 SIM-карт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 SIM-карт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 модулей и интерфейсов (Wi-Fi, Bluetooth, USB, GPS)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 модулей и интерфейсов (Wi-Fi, Bluetooth, USB, GPS)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Стоимость годового владения оборудование м (включая договоры технической поддержки, обслуживания, сервисные договоры) из расчета на одного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абонента (одну единицу трафика) в течение всего срока службы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Стоимость годового владения оборудовани ем (включая договоры технической поддержки, обслуживани я, сервисные договоры) из расчета на одного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абонента (одну единицу трафика) в течение всего срока службы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предусмотрено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цена*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29.10.2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Автомобили легковые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закупка не осуществляется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29.10.3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Средства автотранспортн ые для перевозки 10 или более человек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закупка не осуществляется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29.10.4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Средства автотранспортн ые грузовые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закупка не осуществляется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31.01.11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Мебель металлическая для офисов. Пояснения по закупаемой продукции: мебель для сидения, преимуществен но 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металлическим каркасом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Офисное кресло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материал (металл), обивочные материалы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предельное значение – кожа натуральная; возможные значения: искусственная кожа, искусственная замша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(микрофибра), ткань, нетканые материалы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материал (металл), обивочные материалы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предельное значение – кожа натуральная; возможные значения: искусственная кожа, искусственная замша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(микрофибра), ткань, нетканые материалы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31.01.12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Мебель деревянная для офисов. Пояснения по закупаемой продукции: мебель для сидения, преимуществен но с деревянным каркасом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материал (вид древесины)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предельное значение – массив древесины «ценных» пород (твердолиственн ых и тропических); возможные значения: древесина хвойных и мягколиственны х пород: береза, лиственница, сосна, ель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материал (вид древесины)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предельное значение – массив древесины «ценных» пород (твердолиственн ых и тропических); возможные значения: древесина хвойных и мягколиственны х пород: береза, лиственница, сосна, ель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обивочные материалы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предельное значение – кожа натуральная; возможные значения: искусственная кожа, искусственная замша (микрофибра), ткань, нетканые материалы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обивочные материалы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предельное значение – кожа натуральная; возможные значения: искусственная кожа, искусственная замша (микрофибра), ткань, нетканые материалы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49.32.11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легкового такси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закупка не осуществляется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49.32.12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арендованных легковых автомобилей с водителем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закупка не осуществляется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61.10.30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по передаче данных по проводным телекоммуника ционным сетям. Пояснения по требуемым услугам: оказание услуг связи по передаче данных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закупка не осуществляется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61.20.11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подвижной связи общего пользования – обеспечение доступа и поддержка пользователя. Пояснения по требуемым услугам: оказание услуг подвижной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радиотелефонной связи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тарификация услуги голосовой связи, доступа в информацион нотелекоммуни кационную сеть «Интернет» (лимитная/бе злимитная)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тарификация услуги голосовой связи, доступа в информацион нотелекоммуни кационную сеть «Интернет» (лимитная/бе злимитная)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Безлимитный интернет-трафик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минута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2553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ГБ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объем доступа в информационн отелекоммуник ационную сеть «Интернет»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объем доступа в информационн отелекоммуник ационную сеть «Интернет»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безлимит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домашний регион, территория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доступ в информацион но телекоммуни кационную сеть «Интернет» (да/нет)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доступ в информацион но телекоммуни кационную сеть «Интернет» (да/нет)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4 000,00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4 000,00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61.20.30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по передаче данных по беспроводным телекоммуника ционным сетям. Пояснения по требуемой услуге: услуга связи для ноутбуков, услуга связи для планшетных компьютеров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связи для ноутбуков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4 000,00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4 000,00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связи для планшетных компьютеров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4 000,00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4 000,00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61.20.42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по широкополосно му доступу к информационн окоммуникацион ной сети «Интернет» по беспроводным сетям.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Пояснения по требуемой услуге: услуга связи для ноутбуков, услуга связи для планшетных компьютеров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связи для ноутбуков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4 000,00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4 000,00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связи для планшетных компьютеров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4 000,00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4 000,00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77.11.10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по аренде и лизингу легковых автомобилей и легких автотранспортн ых средств. Пояснения по требуемой услуге: услуги по аренде и лизингу легковых автомобилей и прочих легких автотранспортн ых средств весом не более 3,5 т без водителя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закупка не осуществляется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58.29.13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программное для администриров ания баз данных 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электронном носителе. Пояснения по требуемой продукции: системы управления базами данных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закупка не осуществляется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58.29.21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закупка не осуществляется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58.29.31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программное системное для загрузки. Пояснения по требуемой продукции: средства обеспечения информационн ой безопасности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использовани е российских криптоалгори тмов при использовани и криптографи ческой защиты информации в составе средств обеспечения информацион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ной безопасности систем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использова ние российских криптоалго ритмов при использова нии криптограф ической защиты информаци и в составе средств обеспечени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я информаци онной безопасност и систем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доступность на русском языке интерфейса конфигуриро вания средства информацион ной безопасности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доступност ь на русском языке интерфейса конфигурир ования средства информаци онной безопасност 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10 000,00 за 1 усл.единицу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58.29.32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программное прикладное для загрузки. Пояснения по требуемой продукции: системы управления процессами организации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закупка не осуществляется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61.90.10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телекоммуника ционные прочие. Пояснения по требуемым услугам: оказание услуг по предоставлени ю высокоскорост ного доступа в информационн отелекоммуника ционную сеть «Интернет»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закупка не осуществляется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17.12.14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Бумага прочая и картон для графических целей. Пояснения по требуемой продукции: бумага офисная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Офисная бумага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формат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формат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лист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объем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объем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г/кв. метр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плотность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80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плотность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80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пачка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6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6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26.20.40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Блоки, части и принадлежности вычислительны х машин.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Пояснения по требуемой продукции: картридж для принтера, тонер-картридж многофункцион ального устройства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Картридж для принтера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цветной или черно-белый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цветной или черно-белый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4 в год на каждый принтер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4 в год на каждый принтер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Тонер-картридж для МФУ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цветной или черно-белый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цветной или черно-белый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6 каждого цвета в год на каждое МФУ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6 каждого цвета в год на каждое МФУ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2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Государственные гражданские служащие Министерства сельского хозяйства, пищевой и перерабатывающей промышленности Камчатского края категории «руководители», руководители и заместители руководителе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подведомственных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раевых государственных бюджетных учреждений «Елизовская районная станция по борьбе с болезнями животных»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«Камчатская краевая станция по борьбе с болезнями животных»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«Мильковская районная станция по борьбе с болезнями животных»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«Петропавловская городская станция по борьбе с болезнями животных»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«Соболевская районная станция по борьбе с болезнями животных»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«Станция по борьбе с болезнями животных Усть-Камчатского и Быстринского районов»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«Усть-Большерецкая районная станция по борьбе с болезнями животных»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раевого государственного казенного учреждения по племенной работе «Камчатское»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26.20.11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буемой продукции: ноутбуки, планшетные компьютеры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Ноутбук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039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дюйм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и тип экрана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17, глянцевый или матовый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и тип экрана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17, глянцевый или матовый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вес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вес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83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intel core i7 или аналог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intel core i7 или аналог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2931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ГГц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2553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ГБ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32 DDR4 или DDR5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32 DDR4 или DDR5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2554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ТБ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жесткого диска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HDD или SSD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жесткого диска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HDD или SSD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оптический привод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отсутствие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оптический привод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отсутствие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 модулей WiFi, Bluetooth, поддержки 3G (UMTS)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 модулей WiFi, Bluetooth, поддержки 3G (UMTS)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видеоадаптер 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дискретный или встроенный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видеоадаптер 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дискретный или встроенный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час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операционна я система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операционна я система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предустановл енное программное обеспечение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 х машин и баз данных, либо без ОС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предустановл енное программное обеспечение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 х машин и баз данных, либо без ОС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30 % от штатной численности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цена*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Планшетный компьютер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дюйм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и тип экран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13, глянцевый или матовый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и тип экран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13, глянцевый или матовый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вес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вес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ARM или аналог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ARM или аналог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2931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ГГц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0"/>
                  <w:szCs w:val="20"/>
                </w:rPr>
                <m:rPr/>
                <m:t>≥</m:t>
              </m:r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1,7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0"/>
                  <w:szCs w:val="20"/>
                </w:rPr>
                <m:rPr/>
                <m:t>≥</m:t>
              </m:r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1,7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2553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0"/>
                  <w:szCs w:val="20"/>
                </w:rPr>
                <m:rPr/>
                <m:t>≥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0"/>
                  <w:szCs w:val="20"/>
                </w:rPr>
                <m:rPr/>
                <m:t>≥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2553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0"/>
                  <w:szCs w:val="20"/>
                </w:rPr>
                <m:rPr/>
                <m:t>≥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0"/>
                  <w:szCs w:val="20"/>
                </w:rPr>
                <m:rPr/>
                <m:t>≥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120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 модулей Wi-Fi, Bluetooth, поддержки 3G (UMTS)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 модулей Wi-Fi, Bluetooth, поддержки 3G (UMTS)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0"/>
                  <w:szCs w:val="20"/>
                </w:rPr>
                <m:rPr/>
                <m:t>≥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0"/>
                  <w:szCs w:val="20"/>
                </w:rPr>
                <m:rPr/>
                <m:t>≥</m:t>
              </m:r>
            </m:oMath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операционная система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операционная система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предустановл енное программное обеспечение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 х машин и баз данных, либо без ОС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предустановл енное программное обеспечение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 х машин и баз данных, либо без ОС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цена*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60 000,00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60 000,00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26.20.15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Машины вычислительны 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вывода. Пояснения по требуемой продукции: компьютеры персональные настольные, рабочие станции вывода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Моноблок или системный блок и монитор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дюйм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экрана/монит 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экрана/монит 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выше intel core i7 или аналог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выше intel core i7 или аналог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2931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ГГц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2553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ГБ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32 DDR4 или DDR5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32 DDR4 или DDR5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2553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ГБ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2048 HDD и /или не более 512 SSD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2048 HDD и /или не более 512 SSD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жесткого диска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SSD и/или HDD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жесткого диска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SSD и/или HDD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оптический привод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отсутствие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оптический привод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отсутствие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видеоадаптер 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дискретный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видеоадаптер 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дискретный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операционна я система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операционна я система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предустановл енное программное обеспечение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 х машин и баз данных, либо без ОС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предустановл енное программное обеспечение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 х машин и баз данных, либо без ОС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27.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26.20.16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Устройства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ввода или вывода данных, содержащие или не содержащие в одном корпусе запоминающие устройства. Пояснения по требуемой продукции: принтеры, сканеры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Принтер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метод печати (струйный/ла зерный)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лазерный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метод печати (струйный/ лазерный)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лазерный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цветность (цветной/чер но-белый)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цветной или черно-белый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цветность (цветной/чер но-белый)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цветной или черно-белый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максимальны й формат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максимальны й формат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л/мин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скорость печати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 20 до 40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скорость печати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 20 до 40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 дополнитель ных модулей и интерфейсов (сетевой интерфейс, устройства чтения карт памяти и так далее)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 дополнитель ных модулей и интерфейсов (сетевой интерфейс, устройства чтения карт памяти и так далее)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Сканер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закупка не осуществляется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28.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26.20.18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Устройства периферийные с двумя или более функциями: печать данных, копирование, сканирование, прием и передача факсимильных сообщений. Пояснения по требуемой продукции: многофункцион альное устройство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МФУ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разрешение сканирования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2400 x 2400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разрешение сканирования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2400 x 2400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метод печати (струйный/ла зерный)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лазерный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метод печати (струйный/ла зерный)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лазерный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цветность (цветной/чер но-белый)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цветной или черно-белый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цветность (цветной/чер но-белый)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цветной или черно-белый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максимальны й формат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А4/А3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максимальны й формат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А4/А3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л/мин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скорость печати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 20 до 40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скорость печати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 20 до 40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 дополнитель ных модулей и интерфейсов (сетевой интерфейс, устройства чтения карт памяти и так далее)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 дополнитель ных модулей и интерфейсов (сетевой интерфейс, устройства чтения карт памяти и так далее)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26.30.11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Аппаратура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коммуникацион ная передающая с приемными устройствами. Пояснения по требуемой продукции: телефоны мобильные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Смартфон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поддерживае мые стандарты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GSM 900/1800/1900, 3G, 4G LTE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поддерживае мые стандарты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GSM 900/1800/1900, 3G, 4G LTE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операционна я система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IOS, Android, Windows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операционна я система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IOS, Android, Windows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час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 12 до 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 12 до 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метод управления (сенсорный/к нопочный)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сенсорный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метод управления (сенсорный/к нопочный)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сенсорный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 SIM-карт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 SIM-карт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 модулей и интерфейсов (Wi-Fi, Bluetooth, USB, GPS)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 модулей и интерфейсов (Wi-Fi, Bluetooth, USB, GPS)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Стоимость годового владения оборудование м (включая договоры технической поддержки, обслуживания, сервисные договоры) из расчета на одного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абонента (одну единицу трафика) в течение всего срока службы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Стоимость годового владения оборудовани ем (включая договоры технической поддержки, обслуживани я, сервисные договоры) из расчета на одного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абонента (одну единицу трафика) в течение всего срока службы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предусмотрено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29.10.2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Автомобили легковые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двигателя (силовой установки)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"двигатель внутреннего сгорания"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двигателя (силовой установки)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"двигатель внутреннего сгорания"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лошадиная сила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мощность двигателя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мощность двигателя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вид топлива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"бензин"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или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"дизельное топливо"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вид топлива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"бензин"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или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"дизельное топливо"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комплектация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стандартная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комплектация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стандартная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31.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29.10.3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Средства автотранспортные для перевозки 10 или более человек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двигателя (силовой установки)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"двигатель внутреннего сгорания"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двигателя (силовой установки)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"двигатель внутреннего сгорания"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лошадиная сила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мощность двигателя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мощность двигателя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вид топлива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"бензин"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или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"дизельное топливо"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вид топлива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"бензин"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или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"дизельное топливо"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комплектация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стандартная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комплектация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стандартная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2 000 000,00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29.10.4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Средства автотранспортные грузовые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двигателя (силовой установки)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"двигатель внутреннего сгорания"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двигателя (силовой установки)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"двигатель внутреннего сгорания"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лошадиная сила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мощность двигателя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мощность двигателя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вид топлива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"дизельное топливо"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вид топлива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"дизельное топливо"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комплектация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Дезинфекционная установка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комплектация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Дезинфекционная установка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6 350 000,00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6 350 000,00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33.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31.01.11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Мебель металлическая для офисов. Пояснения по закупаемой продукции: мебель для сидения, преимуществен но 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металлическим каркасом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Офисное кресло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материал (металл), обивочные материалы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предельное значение – кожа натуральная; возможные значения: искусственная кожа, искусственная замша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(микрофибра), ткань, нетканые материалы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материал (металл), обивочные материалы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предельное значение – кожа натуральная; возможные значения: искусственная кожа, искусственная замша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(микрофибра), ткань, нетканые материалы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34.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31.01.12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Мебель деревянная для офисов. Пояснения по закупаемой продукции: мебель для сидения, преимуществен но с деревянным каркасом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материал (вид древесины)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предельное значение – массив древесины «ценных» пород (твердолиственн ых и тропических); возможные значения: древесина хвойных и мягколиственны х пород: береза, лиственница, сосна, ель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материал (вид древесины)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предельное значение – массив древесины «ценных» пород (твердолиственн ых и тропических); возможные значения: древесина хвойных и мягколиственны х пород: береза, лиственница, сосна, ель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обивочные материалы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предельное значение – кожа натуральная; возможные значения: искусственная кожа, искусственная замша (микрофибра), ткань, нетканые материалы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обивочные материалы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предельное значение – кожа натуральная; возможные значения: искусственная кожа, искусственная замша (микрофибра), ткань, нетканые материалы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49.32.11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легкового такси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закупка не осуществляется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36.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49.32.12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арендованных легковых автомобилей с водителем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закупка не осуществляется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61.10.30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по передаче данных по проводным телекоммуника ционным сетям. Пояснения по требуемым услугам: оказание услуг связи по передаче данных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скорость канала передачи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данных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≥ 30 Мегабит в секунду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скорость канала передачи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данных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≥ 30 Мегабит в секунду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доля потерянных пакетов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2 000,00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2 000,00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61.20.11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подвижной связи общего пользования – обеспечение доступа и поддержка пользователя. Пояснения по требуемым услугам: оказание услуг подвижной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радиотелефонной связи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тарификация услуги голосовой связи, доступа в информацион нотелекоммуни кационную сеть «Интернет» (лимитная/бе злимитная)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тарификация услуги голосовой связи, доступа в информацион нотелекоммуни кационную сеть «Интернет» (лимитная/бе злимитная)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Безлимитный интернет-трафик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минута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2553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ГБ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объем доступа в информационн отелекоммуник ационную сеть «Интернет»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объем доступа в информационн отелекоммуник ационную сеть «Интернет»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безлимит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домашний регион, территория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доступ в информацион но телекоммуни кационную сеть «Интернет» (да/нет)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доступ в информацион но телекоммуни кационную сеть «Интернет» (да/нет)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4 000,00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4 000,00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61.20.30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по передаче данных по беспроводным телекоммуника ционным сетям. Пояснения по требуемой услуге: услуга связи для ноутбуков, услуга связи для планшетных компьютеров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связи для ноутбуков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4 000,00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4 000,00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связи для планшетных компьютеров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4 000,00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4 000,00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61.20.42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по широкополосно му доступу к информационн окоммуникацион ной сети «Интернет» по беспроводным сетям.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Пояснения по требуемой услуге: услуга связи для ноутбуков, услуга связи для планшетных компьютеров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связи для ноутбуков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4 000,00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4 000,00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связи для планшетных компьютеров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4 000,00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4 000,00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41.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77.11.10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по аренде и лизингу легковых автомобилей и легких автотранспортн ых средств. Пояснения по требуемой услуге: услуги по аренде и лизингу легковых автомобилей и прочих легких автотранспортн ых средств весом не более 3,5 т без водителя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закупка не осуществляется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42.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58.29.13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программное для администриров ания баз данных 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электронном носителе. Пояснения по требуемой продукции: системы управления базами данных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закупка не осуществляется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43.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58.29.21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закупка не осуществляется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44.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58.29.31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программное системное для загрузки. Пояснения по требуемой продукции: средства обеспечения информационн ой безопасности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использовани е российских криптоалгори тмов при использовани и криптографи ческой защиты информации в составе средств обеспечения информацион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ной безопасности систем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использова ние российских криптоалго ритмов при использова нии криптограф ической защиты информаци и в составе средств обеспечени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я информаци онной безопасност и систем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доступность на русском языке интерфейса конфигуриро вания средства информацион ной безопасности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доступност ь на русском языке интерфейса конфигурир ования средства информаци онной безопасност 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10 000,00 за 1 усл.единицу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45.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58.29.32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программное прикладное для загрузки. Пояснения по требуемой продукции: системы управления процессами организации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закупка не осуществляется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46.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61.90.10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телекоммуника ционные прочие. Пояснения по требуемым услугам: оказание услуг по предоставлени ю высокоскорост ного доступа в информационн отелекоммуника ционную сеть «Интернет»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закупка не осуществляется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47.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17.12.14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Бумага прочая и картон для графических целей. Пояснения по требуемой продукции: бумага офисная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Офисная бумага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формат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формат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лист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объем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объем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г/кв. метр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плотность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80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плотность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80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пачка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6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6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48.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26.20.40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Блоки, части и принадлежности вычислительны х машин.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Пояснения по требуемой продукции: картридж для принтера, тонер-картридж многофункцион ального устройства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Картридж для принтера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цветной или черно-белый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цветной или черно-белый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4 в год на каждый принтер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4 в год на каждый принтер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Тонер-картридж для МФУ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цветной или черно-белый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цветной или черно-белый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6 каждого цвета в год на каждое МФУ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6 каждого цвета в год на каждое МФУ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2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Государственные гражданские служащие, замещающие должности категории «специалисты» главной, ведущей и старшей групп должностей и работники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раевых государственных бюджетных учреждений «Елизовская районная станция по борьбе с болезнями животных»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«Камчатская краевая станция по борьбе с болезнями животных»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«Мильковская районная станция по борьбе с болезнями животных»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«Петропавловская городская станция по борьбе с болезнями животных»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«Соболевская районная станция по борьбе с болезнями животных»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«Станция по борьбе с болезнями животных Усть-Камчатского и Быстринского районов»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«Усть-Большерецкая районная станция по борьбе с болезнями животных»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раевого государственного казенного учреждения по племенной работе «Камчатское»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за исключением руководителей и заместителей руководителей учреждений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49.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26.20.11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Компьютеры портативные массой не более 10 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Пояснения по требуемой продукции: ноутбуки, планшетные компьютеры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Ноутбук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039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дюйм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и тип экрана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17, глянцевый или матовый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и тип экрана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17, глянцевый или матовый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вес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вес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83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intel core i5 или аналог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intel core i5 или аналог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2931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ГГц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2553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ГБ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32 DDR4 или DDR5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32 DDR4 или DDR5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2554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ТБ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жесткого диска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HDD или SSD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жесткого диска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HDD или SSD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оптический привод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отсутствие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оптический привод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отсутствие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 модулей WiFi, Bluetooth, поддержки 3G (UMTS)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 модулей WiFi, Bluetooth, поддержки 3G (UMTS)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видеоадаптер 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дискретный или встроенный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видеоадаптер 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дискретный или встроенный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час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операционна я система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операционна я система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предустановл енное программное обеспечение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 х машин и баз данных, либо без ОС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предустановл енное программное обеспечение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 х машин и баз данных, либо без ОС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30 % от штатной численности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30 % от штатной численности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цена*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Планшетный компьютер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закупка не осуществляется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26.20.15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Машины вычислительны 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вывода. Пояснения по требуемой продукции: компьютеры персональные настольные, рабочие станции вывода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Моноблок или системный блок и монитор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дюйм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экрана/монит 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экрана/монит 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выше intel core i5 или аналог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выше intel core i5 или аналог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2931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ГГц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2553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ГБ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32 DDR4 или DDR5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32 DDR4 или DDR5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2553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ГБ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2048 HDD и /или не более 512 SSD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2048 HDD и /или не более 512 SSD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жесткого диска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SSD и/или HDD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жесткого диска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SSD и/или HDD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оптический привод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отсутствие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оптический привод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отсутствие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видеоадаптер 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дискретный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видеоадаптер 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дискретный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операционна я система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операционна я система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предустановл енное программное обеспечение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 х машин и баз данных, либо без ОС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предустановл енное программное обеспечение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 х машин и баз данных, либо без ОС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51.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26.20.16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Устройства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ввода или вывода данных, содержащие или не содержащие в одном корпусе запоминающие устройства. Пояснения по требуемой продукции: принтеры, сканеры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Принтер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метод печати (струйный/ла зерный)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лазерный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метод печати (струйный/ лазерный)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лазерный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цветность (цветной/чер но-белый)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черно-белый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цветность (цветной/чер но-белый)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черно-белый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максимальны й формат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максимальны й формат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л/мин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скорость печати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 20 до 40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скорость печати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 20 до 40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 дополнитель ных модулей и интерфейсов (сетевой интерфейс, устройства чтения карт памяти и так далее)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 дополнитель ных модулей и интерфейсов (сетевой интерфейс, устройства чтения карт памяти и так далее)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Сканер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разрешение сканирования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2400 х 2400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разрешение сканирования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2400 х 2400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метод сканирования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протяжный или планшетный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метод сканирования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протяжный или планшетный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цветность (цветной/черно-белый)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цветной или черно-белый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цветность (цветной/черно-белый)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цветной или черно-белый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л/мин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максимальный формат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максимальный формат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скорость сканирования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скорость сканирования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 дополнительных модулей и интерфейсов (сетевой интерфейс, устройства чтения карт памяти и так далее)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 дополнительных модулей и интерфейсов (сетевой интерфейс, устройства чтения карт памяти и так далее)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20% от штатной численности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20% от штатной численности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52.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26.20.18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Устройства периферийные с двумя или более функциями: печать данных, копирование, сканирование, прием и передача факсимильных сообщений. Пояснения по требуемой продукции: многофункцион альное устройство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МФУ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разрешение сканирования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2400 x 2400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разрешение сканирования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2400 x 2400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метод печати (струйный/ла зерный)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лазерный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метод печати (струйный/ла зерный)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лазерный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цветность (цветной/чер но-белый)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черно-белый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цветность (цветной/чер но-белый)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черно-белый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максимальны й формат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максимальны й формат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л/мин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скорость печати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 20 до 40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скорость печати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 20 до 40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 дополнитель ных модулей и интерфейсов (сетевой интерфейс, устройства чтения карт памяти и так далее)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 дополнитель ных модулей и интерфейсов (сетевой интерфейс, устройства чтения карт памяти и так далее)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15% от штатной численности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15% от штатной численности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53.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26.30.11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Аппаратура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коммуникацион ная передающая с приемными устройствами. Пояснения по требуемой продукции: телефоны мобильные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Смартфон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закупка не осуществляется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54.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29.10.2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Автомобили легковые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закупка не осуществляется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55.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29.10.3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Средства автотранспортные для перевозки 10 или более человек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закупка не осуществляется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56.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29.10.4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Средства автотранспортные грузовые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закупка не осуществляется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57.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31.01.11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Мебель металлическая для офисов. Пояснения по закупаемой продукции: мебель для сидения, преимуществен но 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металлическим каркасом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Офисное кресло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материал (металл), обивочные материалы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предельное значение – кожа натуральная; возможные значения: искусственная кожа, искусственная замша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(микрофибра), ткань, нетканые материалы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материал (металл), обивочные материалы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предельное значение – кожа натуральная; возможные значения: искусственная кожа, искусственная замша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(микрофибра), ткань, нетканые материалы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58.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31.01.12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Мебель деревянная для офисов. Пояснения по закупаемой продукции: мебель для сидения, преимуществен но с деревянным каркасом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закупка не осуществляется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59.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49.32.11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легкового такси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закупка не осуществляется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60.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49.32.12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арендованных легковых автомобилей с водителем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закупка не осуществляется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61.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61.10.30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по передаче данных по проводным телекоммуника ционным сетям. Пояснения по требуемым услугам: оказание услуг связи по передаче данных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скорость канала передачи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данных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≥ 30 Мегабит в секунду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скорость канала передачи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данных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≥ 30 Мегабит в секунду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доля потерянных пакетов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2 000,00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2 000,00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62.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61.20.11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подвижной связи общего пользования – обеспечение доступа и поддержка пользователя. Пояснения по требуемым услугам: оказание услуг подвижной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радиотелефонной связи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тарификация услуги голосовой связи, доступа в информацион нотелекоммуни кационную сеть «Интернет» (лимитная/бе злимитная)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тарификация услуги голосовой связи, доступа в информацион нотелекоммуни кационную сеть «Интернет» (лимитная/бе злимитная)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Безлимитный интернет-трафик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минута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2553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ГБ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объем доступа в информационн отелекоммуник ационную сеть «Интернет»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объем доступа в информационн отелекоммуник ационную сеть «Интернет»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безлимит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домашний регион, территория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доступ в информацион но телекоммуни кационную сеть «Интернет» (да/нет)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доступ в информацион но телекоммуни кационную сеть «Интернет» (да/нет)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2 000,00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2 000,00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63.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61.20.30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по передаче данных по беспроводным телекоммуника ционным сетям. Пояснения по требуемой услуге: услуга связи для ноутбуков, услуга связи для планшетных компьютеров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связи для ноутбуков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2 000,00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2 000,00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связи для планшетных компьютеров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закупка не осуществляется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64.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61.20.42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по широкополосно му доступу к информационн окоммуникацион ной сети «Интернет» по беспроводным сетям.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Пояснения по требуемой услуге: услуга связи для ноутбуков, услуга связи для планшетных компьютеров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связи для ноутбуков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2 000,00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2 000,00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связи для планшетных компьютеров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закупка не осуществляется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65.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77.11.10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по аренде и лизингу легковых автомобилей и легких автотранспортн ых средств. Пояснения по требуемой услуге: услуги по аренде и лизингу легковых автомобилей и прочих легких автотранспортн ых средств весом не более 3,5 т без водителя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закупка не осуществляется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66.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58.29.13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программное для администриров ания баз данных 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электронном носителе. Пояснения по требуемой продукции: системы управления базами данных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закупка не осуществляется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67.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58.29.21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закупка не осуществляется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68.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58.29.31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программное системное для загрузки. Пояснения по требуемой продукции: средства обеспечения информационн ой безопасности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использовани е российских криптоалгори тмов при использовани и криптографи ческой защиты информации в составе средств обеспечения информацион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ной безопасности систем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использова ние российских криптоалго ритмов при использова нии криптограф ической защиты информаци и в составе средств обеспечени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я информаци онной безопасност и систем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доступность на русском языке интерфейса конфигуриро вания средства информацион ной безопасности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доступност ь на русском языке интерфейса конфигурир ования средства информаци онной безопасност 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10 000,00 за 1 усл.единицу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69.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58.29.32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программное прикладное для загрузки. Пояснения по требуемой продукции: системы управления процессами организации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600 000,00 в год за условную ед.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70.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61.90.10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Услуги телекоммуника ционные прочие. Пояснения по требуемым услугам: оказание услуг по предоставлени ю высокоскорост ного доступа в информационн отелекоммуника ционную сеть «Интернет»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максимальная скорость соединения в информационно-телекоммуникационной сети "Интернет"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максимальная скорость соединения в информационно-телекоммуникационной сети "Интернет"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≥ 50 Мегабит в секунду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85 000,00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71.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17.12.14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Бумага прочая и картон для графических целей. Пояснения по требуемой продукции: бумага офисная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Офисная бумага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формат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формат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625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лист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объем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объем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г/кв. метр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плотность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80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плотность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80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728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пачка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6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6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72.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26.20.40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Блоки, части и принадлежности вычислительны х машин.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Пояснения по требуемой продукции: картридж для принтера, тонер-картридж многофункцион ального устройства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Картридж для принтера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черно-белый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черно-белый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4 в год на каждый принтер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4 в год на каждый принтер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Тонер-картридж для МФУ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черно-белый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черно-белый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6 каждого цвета в год на каждое МФУ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6 каждого цвета в год на каждое МФУ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2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Для лиц, ответственных за осуществление контрольных (надзорных) и профилактических мероприятий в соответствии с Федеральным законом от 31.07.2020 N 248-ФЗ, планшетный компьютер или ноутбук.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**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73.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26.20.11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буемой продукции: ноутбуки, планшетные компьютеры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планшетный компьютер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дюйм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и тип экрана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13, глянцевый или матовый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и тип экрана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13, глянцевый или матовый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вес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1,4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вес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1,4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ARM или аналог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ARM или аналог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ГГц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0"/>
                  <w:szCs w:val="20"/>
                </w:rPr>
                <m:rPr/>
                <m:t>≥</m:t>
              </m:r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1,7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0"/>
                  <w:szCs w:val="20"/>
                </w:rPr>
                <m:rPr/>
                <m:t>≥</m:t>
              </m:r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1,7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2553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0"/>
                  <w:szCs w:val="20"/>
                </w:rPr>
                <m:rPr/>
                <m:t>≥</m:t>
              </m:r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0"/>
                  <w:szCs w:val="20"/>
                </w:rPr>
                <m:rPr/>
                <m:t>≥</m:t>
              </m:r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2553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0"/>
                  <w:szCs w:val="20"/>
                </w:rPr>
                <m:rPr/>
                <m:t>≥</m:t>
              </m:r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120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0"/>
                  <w:szCs w:val="20"/>
                </w:rPr>
                <m:rPr/>
                <m:t>≥</m:t>
              </m:r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120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 модулей Wi-Fi, Bluetooth, поддержки 3G (UMTS)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 модулей Wi-Fi, Bluetooth, поддержки 3G (UMTS)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час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0"/>
                  <w:szCs w:val="20"/>
                </w:rPr>
                <m:rPr/>
                <m:t>≥</m:t>
              </m:r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r>
                <w:rPr>
                  <w:rFonts w:hint="default" w:ascii="Cambria Math" w:hAnsi="Cambria Math" w:eastAsia="Cambria Math" w:cs="Cambria Math"/>
                  <w:color w:val="000000"/>
                  <w:sz w:val="20"/>
                  <w:szCs w:val="20"/>
                </w:rPr>
                <m:rPr/>
                <m:t>≥</m:t>
              </m:r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операционная система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операционная система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предустановленное программное обеспечение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вычислительных машин и баз данных, либо без ОС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предустановленное программное обеспечение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вычислительных машин и баз данных, либо без ОС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8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ноутбук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039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дюйм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и тип экрана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17, глянцевый или матовый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и тип экрана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17, глянцевый или матовый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вес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вес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intel core i7 или аналог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intel core i7 или аналог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ГГц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2553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32 DDR4 или DDR5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32 DDR4 или DDR5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более 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жесткого диска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HDD или SSD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жесткого диска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HDD или SSD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оптический привод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отсутствие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оптический привод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отсутствие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 модулей Wi-Fi,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 модулей Wi-Fi,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Bluetooth, поддержки 3G (UMTS)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Bluetooth, поддержки 3G (UMTS)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видеоадаптера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дискретный или встроенный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тип видеоадаптера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дискретный или встроенный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час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операционная система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операционная система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предустановленное программное обеспечение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вычислительных машин и баз данных, либо без ОС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предустановленное программное обеспечение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вычислительных машин и баз данных, либо без ОС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2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Дополнительный перечень отдельных видов товаров, работ, услуг, определенный Министерством финансов Камчатского края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74.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58.29.50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Услуги по предоставлению лицензий на право использовать компьютерное программное обеспечение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Пояснение по услгам: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Услуга по сопровождению электронного периодического справочника "Система Гарант".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Программное обеспечение.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380 000,00 в год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Оказание услуг по сопровождению программного продукта «1С:Свод отчетов 8 ПРОФ». Программное обеспечение.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4 000,00 за 1 час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Услуги по передаче кода доступа к комплекту "Система Госфинансы"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в год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Услуга 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 предоставление простой (неисключительной) лицензии на право использования программного обеспечения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Автоматизированная система учета и регистрации с/х животных REGAGRO"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498 000,00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в год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Услуга 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 предоставление лицензии на право использования программного обеспечения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программы для ЭВМ «Альфа». Приложение «АльфаДок».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80 000,00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в год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63.11.19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Услуги прочие по размещению и предоставлению инфраструктуры информационных технологий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Пояснение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Предоставление простой (неисключительной) лицензии на право использования сервиса облачного хранения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387 000,00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в год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62.02.30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Услуги по технической поддержке информационных технологий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Пояснение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Предоставление услуг по обновлению программы для ЭВМ "Автоматизированная система  учета животных без владельцев"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92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422 000,00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в год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</w:tbl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74"/>
        <w:contextualSpacing w:val="0"/>
        <w:jc w:val="left"/>
        <w:spacing w:before="0" w:after="0" w:line="240" w:lineRule="auto"/>
        <w:rPr>
          <w:rStyle w:val="891"/>
          <w:rFonts w:ascii="Times New Roman" w:hAnsi="Times New Roman" w:cs="Times New Roman"/>
          <w:sz w:val="20"/>
          <w:szCs w:val="20"/>
        </w:rPr>
        <w:suppressLineNumbers w:val="0"/>
      </w:pPr>
      <w:r>
        <w:rPr>
          <w:rStyle w:val="891"/>
          <w:rFonts w:ascii="Times New Roman" w:hAnsi="Times New Roman" w:eastAsia="Times New Roman" w:cs="Times New Roman"/>
          <w:sz w:val="20"/>
          <w:szCs w:val="20"/>
        </w:rPr>
        <w:t xml:space="preserve">______________________________</w:t>
      </w:r>
      <w:r>
        <w:rPr>
          <w:rStyle w:val="891"/>
          <w:rFonts w:ascii="Times New Roman" w:hAnsi="Times New Roman" w:cs="Times New Roman"/>
          <w:sz w:val="20"/>
          <w:szCs w:val="20"/>
        </w:rPr>
      </w:r>
      <w:r>
        <w:rPr>
          <w:rStyle w:val="891"/>
          <w:rFonts w:ascii="Times New Roman" w:hAnsi="Times New Roman" w:cs="Times New Roman"/>
          <w:sz w:val="20"/>
          <w:szCs w:val="20"/>
        </w:rPr>
      </w:r>
    </w:p>
    <w:p>
      <w:pPr>
        <w:pStyle w:val="874"/>
        <w:contextualSpacing w:val="0"/>
        <w:jc w:val="both"/>
        <w:spacing w:before="0" w:after="0" w:line="240" w:lineRule="auto"/>
        <w:rPr>
          <w:sz w:val="18"/>
          <w:szCs w:val="18"/>
        </w:rPr>
        <w:suppressLineNumbers w:val="0"/>
      </w:pPr>
      <w:r>
        <w:rPr>
          <w:rStyle w:val="891"/>
          <w:rFonts w:ascii="Times New Roman" w:hAnsi="Times New Roman" w:cs="Times New Roman"/>
          <w:sz w:val="18"/>
          <w:szCs w:val="18"/>
        </w:rPr>
        <w:t xml:space="preserve">* В случае принятия Министром сельского хозяйства, пищевой и перерабатывающей промышленности Камчатского края решений об изменении нормативов цены приобретения средств связи и расходов на услуги связи, нормативов цены приобретения планшетных компьютеров и р</w:t>
      </w:r>
      <w:r>
        <w:rPr>
          <w:rStyle w:val="891"/>
          <w:rFonts w:ascii="Times New Roman" w:hAnsi="Times New Roman" w:cs="Times New Roman"/>
          <w:sz w:val="18"/>
          <w:szCs w:val="18"/>
        </w:rPr>
        <w:t xml:space="preserve">асходов на услуги связи, нормативов цены приобретения ноутбуков и расходов на услуги связи, нормативов цены приобретения транспортных средств допускается увеличение указанных нормативов цены путем их умножения на следующие величины:</w:t>
      </w:r>
      <w:r>
        <w:rPr>
          <w:sz w:val="18"/>
          <w:szCs w:val="18"/>
        </w:rPr>
      </w:r>
    </w:p>
    <w:p>
      <w:pPr>
        <w:pStyle w:val="874"/>
        <w:contextualSpacing w:val="0"/>
        <w:jc w:val="both"/>
        <w:spacing w:before="0" w:after="0" w:line="240" w:lineRule="auto"/>
        <w:rPr>
          <w:sz w:val="18"/>
          <w:szCs w:val="18"/>
        </w:rPr>
        <w:suppressLineNumbers w:val="0"/>
      </w:pPr>
      <w:r>
        <w:rPr>
          <w:rStyle w:val="891"/>
          <w:rFonts w:ascii="Times New Roman" w:hAnsi="Times New Roman" w:cs="Times New Roman"/>
          <w:sz w:val="18"/>
          <w:szCs w:val="18"/>
        </w:rPr>
        <w:t xml:space="preserve">1,49 – в отношении цены приобретения средств связи и расходов на услуги связи; </w:t>
      </w:r>
      <w:r>
        <w:rPr>
          <w:sz w:val="18"/>
          <w:szCs w:val="18"/>
        </w:rPr>
      </w:r>
    </w:p>
    <w:p>
      <w:pPr>
        <w:pStyle w:val="874"/>
        <w:contextualSpacing w:val="0"/>
        <w:jc w:val="both"/>
        <w:spacing w:before="0" w:after="0" w:line="240" w:lineRule="auto"/>
        <w:rPr>
          <w:sz w:val="18"/>
          <w:szCs w:val="18"/>
        </w:rPr>
        <w:suppressLineNumbers w:val="0"/>
      </w:pPr>
      <w:r>
        <w:rPr>
          <w:rStyle w:val="891"/>
          <w:rFonts w:ascii="Times New Roman" w:hAnsi="Times New Roman" w:cs="Times New Roman"/>
          <w:sz w:val="18"/>
          <w:szCs w:val="18"/>
        </w:rPr>
        <w:t xml:space="preserve">1,084 – в отношении цены приобретения планшетных компьютеров и расходов на услуги связи, цены приобретения ноутбуков и расходов на услуги связи.</w:t>
      </w:r>
      <w:r>
        <w:rPr>
          <w:sz w:val="18"/>
          <w:szCs w:val="18"/>
        </w:rPr>
      </w:r>
    </w:p>
    <w:p>
      <w:pPr>
        <w:pStyle w:val="874"/>
        <w:contextualSpacing w:val="0"/>
        <w:jc w:val="both"/>
        <w:spacing w:before="0" w:after="0" w:line="240" w:lineRule="auto"/>
        <w:rPr>
          <w:rStyle w:val="891"/>
          <w:rFonts w:ascii="Times New Roman" w:hAnsi="Times New Roman" w:cs="Times New Roman"/>
          <w:sz w:val="18"/>
          <w:szCs w:val="18"/>
        </w:rPr>
        <w:suppressLineNumbers w:val="0"/>
      </w:pPr>
      <w:r>
        <w:rPr>
          <w:rStyle w:val="891"/>
          <w:rFonts w:ascii="Times New Roman" w:hAnsi="Times New Roman" w:cs="Times New Roman"/>
          <w:sz w:val="18"/>
          <w:szCs w:val="18"/>
        </w:rPr>
        <w:t xml:space="preserve">** Норматив количества офисной бумаги и картриджа, тонер-картриджа на работника, осуществляющего контрольную деятельность, установить в объеме – не более 12 пачек и не более 8 картриджей, тонер-картриджей в год на каждого такого работника.</w:t>
      </w:r>
      <w:r>
        <w:rPr>
          <w:sz w:val="18"/>
          <w:szCs w:val="18"/>
        </w:rPr>
      </w:r>
      <w:r>
        <w:rPr>
          <w:rStyle w:val="891"/>
          <w:rFonts w:ascii="Times New Roman" w:hAnsi="Times New Roman" w:cs="Times New Roman"/>
          <w:sz w:val="18"/>
          <w:szCs w:val="18"/>
        </w:rPr>
      </w:r>
    </w:p>
    <w:p>
      <w:pPr>
        <w:pStyle w:val="874"/>
        <w:contextualSpacing w:val="0"/>
        <w:jc w:val="both"/>
        <w:spacing w:before="0" w:after="0" w:line="240" w:lineRule="auto"/>
        <w:rPr>
          <w:rStyle w:val="891"/>
          <w:rFonts w:ascii="Times New Roman" w:hAnsi="Times New Roman" w:cs="Times New Roman"/>
          <w:sz w:val="20"/>
          <w:szCs w:val="20"/>
        </w:rPr>
        <w:suppressLineNumbers w:val="0"/>
      </w:pPr>
      <w:r>
        <w:rPr>
          <w:rStyle w:val="891"/>
          <w:rFonts w:ascii="Times New Roman" w:hAnsi="Times New Roman" w:eastAsia="Times New Roman" w:cs="Times New Roman"/>
          <w:sz w:val="20"/>
          <w:szCs w:val="20"/>
        </w:rPr>
        <w:t xml:space="preserve">______________________________</w:t>
      </w:r>
      <w:r>
        <w:rPr>
          <w:rStyle w:val="891"/>
          <w:rFonts w:ascii="Times New Roman" w:hAnsi="Times New Roman" w:cs="Times New Roman"/>
          <w:sz w:val="20"/>
          <w:szCs w:val="20"/>
        </w:rPr>
      </w:r>
      <w:r>
        <w:rPr>
          <w:rStyle w:val="891"/>
          <w:rFonts w:ascii="Times New Roman" w:hAnsi="Times New Roman" w:cs="Times New Roman"/>
          <w:sz w:val="20"/>
          <w:szCs w:val="20"/>
        </w:rPr>
      </w:r>
    </w:p>
    <w:p>
      <w:r/>
    </w:p>
    <w:sectPr>
      <w:footnotePr/>
      <w:endnotePr/>
      <w:type w:val="nextPage"/>
      <w:pgSz w:w="16838" w:h="11906" w:orient="landscape"/>
      <w:pgMar w:top="1418" w:right="680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Symbol">
    <w:panose1 w:val="05010000000000000000"/>
  </w:font>
  <w:font w:name="Wingdings">
    <w:panose1 w:val="05010000000000000000"/>
  </w:font>
  <w:font w:name="Times New Roman CYR">
    <w:panose1 w:val="02020603050405020304"/>
  </w:font>
  <w:font w:name="Segoe UI">
    <w:panose1 w:val="020B05030202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57"/>
        <w:rPr>
          <w:rFonts w:ascii="Times New Roman" w:hAnsi="Times New Roman" w:cs="Times New Roman"/>
          <w:sz w:val="18"/>
          <w:szCs w:val="18"/>
        </w:rPr>
      </w:pPr>
      <w:r>
        <w:rPr>
          <w:rStyle w:val="859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Здесь и далее – Правила определения требований к закупаемым государственными органами Камчатского края, подведомственными им краевыми государственными казенными, бюджетными учреждениями и государственными унитарными предприятиями, органом управления террит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ориальным фондом обязательного медицинского страхования Камчатского края отдельным видам товаров, работ, услуг (в том числе предельные цены товаров, работ, услуг)», утвержденные постановлением Правительства Камчатского края от 06.05.2021 № 174-П.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04585755"/>
      <w:docPartObj>
        <w:docPartGallery w:val="Page Numbers (Top of Page)"/>
        <w:docPartUnique w:val="true"/>
      </w:docPartObj>
      <w:rPr/>
    </w:sdtPr>
    <w:sdtContent>
      <w:p>
        <w:pPr>
          <w:pStyle w:val="88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4"/>
    <w:next w:val="874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basedOn w:val="875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4"/>
    <w:next w:val="874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basedOn w:val="875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basedOn w:val="875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basedOn w:val="875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basedOn w:val="875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75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75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4"/>
    <w:next w:val="874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75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4"/>
    <w:next w:val="874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75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4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4"/>
    <w:next w:val="874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5"/>
    <w:link w:val="720"/>
    <w:uiPriority w:val="10"/>
    <w:rPr>
      <w:sz w:val="48"/>
      <w:szCs w:val="48"/>
    </w:rPr>
  </w:style>
  <w:style w:type="paragraph" w:styleId="722">
    <w:name w:val="Subtitle"/>
    <w:basedOn w:val="874"/>
    <w:next w:val="874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5"/>
    <w:link w:val="722"/>
    <w:uiPriority w:val="11"/>
    <w:rPr>
      <w:sz w:val="24"/>
      <w:szCs w:val="24"/>
    </w:rPr>
  </w:style>
  <w:style w:type="paragraph" w:styleId="724">
    <w:name w:val="Quote"/>
    <w:basedOn w:val="874"/>
    <w:next w:val="874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4"/>
    <w:next w:val="874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5"/>
    <w:link w:val="885"/>
    <w:uiPriority w:val="99"/>
  </w:style>
  <w:style w:type="character" w:styleId="729">
    <w:name w:val="Footer Char"/>
    <w:basedOn w:val="875"/>
    <w:link w:val="881"/>
    <w:uiPriority w:val="99"/>
  </w:style>
  <w:style w:type="paragraph" w:styleId="730">
    <w:name w:val="Caption"/>
    <w:basedOn w:val="874"/>
    <w:next w:val="874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875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5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5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table" w:styleId="878">
    <w:name w:val="Table Grid"/>
    <w:basedOn w:val="87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9">
    <w:name w:val="Plain Text"/>
    <w:basedOn w:val="874"/>
    <w:link w:val="880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Cs w:val="21"/>
    </w:rPr>
  </w:style>
  <w:style w:type="character" w:styleId="880" w:customStyle="1">
    <w:name w:val="Текст Знак"/>
    <w:basedOn w:val="875"/>
    <w:link w:val="879"/>
    <w:uiPriority w:val="99"/>
    <w:semiHidden/>
    <w:rPr>
      <w:rFonts w:ascii="Calibri" w:hAnsi="Calibri" w:eastAsia="Calibri" w:cs="Times New Roman"/>
      <w:szCs w:val="21"/>
    </w:rPr>
  </w:style>
  <w:style w:type="paragraph" w:styleId="881">
    <w:name w:val="Footer"/>
    <w:basedOn w:val="874"/>
    <w:link w:val="882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82" w:customStyle="1">
    <w:name w:val="Нижний колонтитул Знак"/>
    <w:basedOn w:val="875"/>
    <w:link w:val="881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3">
    <w:name w:val="Balloon Text"/>
    <w:basedOn w:val="874"/>
    <w:link w:val="88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basedOn w:val="875"/>
    <w:link w:val="883"/>
    <w:uiPriority w:val="99"/>
    <w:semiHidden/>
    <w:rPr>
      <w:rFonts w:ascii="Segoe UI" w:hAnsi="Segoe UI" w:cs="Segoe UI"/>
      <w:sz w:val="18"/>
      <w:szCs w:val="18"/>
    </w:rPr>
  </w:style>
  <w:style w:type="paragraph" w:styleId="885">
    <w:name w:val="Header"/>
    <w:basedOn w:val="874"/>
    <w:link w:val="8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6" w:customStyle="1">
    <w:name w:val="Верхний колонтитул Знак"/>
    <w:basedOn w:val="875"/>
    <w:link w:val="885"/>
    <w:uiPriority w:val="99"/>
  </w:style>
  <w:style w:type="character" w:styleId="887">
    <w:name w:val="Hyperlink"/>
    <w:basedOn w:val="875"/>
    <w:uiPriority w:val="99"/>
    <w:unhideWhenUsed/>
    <w:rPr>
      <w:color w:val="0563c1" w:themeColor="hyperlink"/>
      <w:u w:val="single"/>
    </w:rPr>
  </w:style>
  <w:style w:type="table" w:styleId="888" w:customStyle="1">
    <w:name w:val="Сетка таблицы1"/>
    <w:basedOn w:val="876"/>
    <w:next w:val="878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9" w:customStyle="1">
    <w:name w:val="Сетка таблицы2"/>
    <w:basedOn w:val="876"/>
    <w:next w:val="878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0" w:customStyle="1">
    <w:name w:val="ConsPlusTitle2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hi-IN"/>
      <w14:ligatures w14:val="none"/>
    </w:rPr>
  </w:style>
  <w:style w:type="character" w:styleId="891" w:customStyle="1">
    <w:name w:val="Цветовое выделение для Текст"/>
    <w:qFormat/>
  </w:style>
  <w:style w:type="paragraph" w:styleId="892" w:customStyle="1">
    <w:name w:val="Нормальный (таблица)"/>
    <w:basedOn w:val="708"/>
    <w:next w:val="708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 CYR" w:hAnsi="Times New Roman CYR" w:eastAsia="Symbol" w:cs="Wingdings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paragraph" w:styleId="893" w:customStyle="1">
    <w:name w:val="ConsPlusNormal"/>
    <w:link w:val="79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2EDF1-1EC0-48B1-8B9D-B35BF0DB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telminovin</cp:lastModifiedBy>
  <cp:revision>26</cp:revision>
  <dcterms:created xsi:type="dcterms:W3CDTF">2023-07-23T23:09:00Z</dcterms:created>
  <dcterms:modified xsi:type="dcterms:W3CDTF">2026-06-18T22:59:23Z</dcterms:modified>
</cp:coreProperties>
</file>