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32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highlight w:val="white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  <w:highlight w:val="white"/>
        </w:rPr>
      </w:pPr>
      <w:r>
        <w:rPr>
          <w:rFonts w:ascii="Times New Roman" w:hAnsi="Times New Roman"/>
          <w:sz w:val="32"/>
          <w:highlight w:val="white"/>
        </w:rPr>
      </w:r>
      <w:r>
        <w:rPr>
          <w:rFonts w:ascii="Times New Roman" w:hAnsi="Times New Roman"/>
          <w:sz w:val="32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highlight w:val="white"/>
        </w:rPr>
      </w:pPr>
      <w:r>
        <w:rPr>
          <w:rFonts w:ascii="Times New Roman" w:hAnsi="Times New Roman"/>
          <w:b/>
          <w:sz w:val="32"/>
          <w:highlight w:val="white"/>
        </w:rPr>
      </w:r>
      <w:r>
        <w:rPr>
          <w:rFonts w:ascii="Times New Roman" w:hAnsi="Times New Roman"/>
          <w:b/>
          <w:sz w:val="32"/>
          <w:highlight w:val="white"/>
        </w:rPr>
      </w:r>
    </w:p>
    <w:p>
      <w:pPr>
        <w:spacing w:after="0" w:line="240" w:lineRule="auto"/>
        <w:rPr>
          <w:rFonts w:ascii="Times New Roman" w:hAnsi="Times New Roman"/>
          <w:b/>
          <w:sz w:val="32"/>
          <w:highlight w:val="white"/>
        </w:rPr>
      </w:pPr>
      <w:r>
        <w:rPr>
          <w:rFonts w:ascii="Times New Roman" w:hAnsi="Times New Roman"/>
          <w:b/>
          <w:sz w:val="32"/>
          <w:highlight w:val="white"/>
        </w:rPr>
      </w:r>
      <w:r>
        <w:rPr>
          <w:rFonts w:ascii="Times New Roman" w:hAnsi="Times New Roman"/>
          <w:b/>
          <w:sz w:val="32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highlight w:val="white"/>
        </w:rPr>
      </w:pPr>
      <w:r>
        <w:rPr>
          <w:rFonts w:ascii="Times New Roman" w:hAnsi="Times New Roman"/>
          <w:b/>
          <w:sz w:val="32"/>
          <w:highlight w:val="white"/>
        </w:rPr>
        <w:t xml:space="preserve">П О С Т А Н О В Л Е Н И Е</w:t>
      </w:r>
      <w:r>
        <w:rPr>
          <w:rFonts w:ascii="Times New Roman" w:hAnsi="Times New Roman"/>
          <w:b/>
          <w:sz w:val="32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ПРАВИТЕЛЬСТВА</w:t>
      </w:r>
      <w:r>
        <w:rPr>
          <w:rFonts w:ascii="Times New Roman" w:hAnsi="Times New Roman"/>
          <w:b/>
          <w:sz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КАМЧАТСКОГО КРАЯ</w:t>
      </w:r>
      <w:r>
        <w:rPr>
          <w:rFonts w:ascii="Times New Roman" w:hAnsi="Times New Roman"/>
          <w:b/>
          <w:sz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highlight w:val="white"/>
              </w:rPr>
            </w:r>
            <w:bookmarkStart w:id="0" w:name="REGNUMDATESTAMP"/>
            <w:r>
              <w:rPr>
                <w:rFonts w:ascii="Times New Roman" w:hAnsi="Times New Roman"/>
                <w:color w:val="ffffff"/>
                <w:sz w:val="24"/>
                <w:highlight w:val="white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  <w:highlight w:val="white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  <w:highlight w:val="white"/>
              </w:rPr>
              <w:t xml:space="preserve">]</w:t>
            </w:r>
            <w:bookmarkEnd w:id="0"/>
            <w:r>
              <w:rPr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highlight w:val="white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1_634"/>
        <w:ind w:right="-2"/>
        <w:jc w:val="center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Об утверждении Порядка предоставления в 2026-2028 годах из краевого бюджета субсидий </w:t>
      </w:r>
      <w:r>
        <w:rPr>
          <w:b/>
          <w:bCs/>
          <w:color w:val="000000"/>
          <w:sz w:val="28"/>
          <w:szCs w:val="28"/>
          <w:highlight w:val="white"/>
        </w:rPr>
        <w:t xml:space="preserve">некоммерческим организациям </w:t>
      </w:r>
      <w:r>
        <w:rPr>
          <w:b/>
          <w:bCs/>
          <w:sz w:val="28"/>
          <w:szCs w:val="28"/>
          <w:highlight w:val="white"/>
        </w:rPr>
        <w:t xml:space="preserve">на финансовое обеспечение затрат в связи с оказанием </w:t>
      </w:r>
      <w:r>
        <w:rPr>
          <w:b/>
          <w:sz w:val="28"/>
          <w:szCs w:val="28"/>
          <w:highlight w:val="white"/>
        </w:rPr>
        <w:t xml:space="preserve">услуг по проведению социологических исследований по вопросам незаконного потребления наркотических средств, психотропных веществ и потребления алкогольной продукции в Камчатском крае, социологических исс</w:t>
      </w:r>
      <w:r>
        <w:rPr>
          <w:b/>
          <w:sz w:val="28"/>
          <w:szCs w:val="28"/>
          <w:highlight w:val="white"/>
        </w:rPr>
        <w:t xml:space="preserve">ледований по выявлению факторов в Камчатском крае, способствующих возникновению и распространению идеологии терроризма, и проведения отбора получателей субсидий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</w:t>
      </w:r>
      <w:hyperlink r:id="rId12" w:tooltip="https://login.consultant.ru/link/?req=doc&amp;base=LAW&amp;n=466790&amp;dst=103575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пунктом 2 статьи 78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, </w:t>
      </w:r>
      <w:hyperlink r:id="rId13" w:tooltip="https://login.consultant.ru/link/?req=doc&amp;base=LAW&amp;n=466790&amp;dst=7617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подпунктом 2 пункта 2 статьи 78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  <w:vertAlign w:val="superscript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 Бюджетного кодекса Российской Федерации, </w:t>
      </w:r>
      <w:hyperlink r:id="rId14" w:tooltip="https://login.consultant.ru/link/?req=doc&amp;base=LAW&amp;n=490805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постановлением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Правительства Российской Федерации от 25.10.2023 № 1782 </w:t>
      </w:r>
      <w:r>
        <w:rPr>
          <w:rStyle w:val="662"/>
          <w:rFonts w:ascii="Times New Roman" w:hAnsi="Times New Roman"/>
          <w:sz w:val="28"/>
          <w:highlight w:val="white"/>
        </w:rPr>
        <w:t xml:space="preserve">«</w:t>
      </w:r>
      <w:r>
        <w:rPr>
          <w:rStyle w:val="662"/>
          <w:rFonts w:ascii="Times New Roman" w:hAnsi="Times New Roman"/>
          <w:sz w:val="28"/>
          <w:highlight w:val="white"/>
        </w:rPr>
        <w:t xml:space="preserve">О</w:t>
      </w:r>
      <w:r>
        <w:rPr>
          <w:rStyle w:val="662"/>
          <w:rFonts w:ascii="Times New Roman" w:hAnsi="Times New Roman"/>
          <w:sz w:val="28"/>
          <w:highlight w:val="white"/>
        </w:rPr>
        <w:t xml:space="preserve"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</w:t>
      </w:r>
      <w:r>
        <w:rPr>
          <w:rStyle w:val="662"/>
          <w:rFonts w:ascii="Times New Roman" w:hAnsi="Times New Roman"/>
          <w:sz w:val="28"/>
          <w:highlight w:val="white"/>
        </w:rPr>
        <w:t xml:space="preserve">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rStyle w:val="662"/>
          <w:rFonts w:ascii="Times New Roman" w:hAnsi="Times New Roman"/>
          <w:sz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ПРАВИТЕЛЬСТВО ПОСТАНОВЛЯЕТ:</w:t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1_634"/>
        <w:ind w:right="-2"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Утвердить </w:t>
      </w:r>
      <w:hyperlink r:id="rId15" w:tooltip="https://login.consultant.ru/link/?req=doc&amp;base=RLAW296&amp;n=211106&amp;dst=100010" w:history="1">
        <w:r>
          <w:rPr>
            <w:sz w:val="28"/>
            <w:szCs w:val="28"/>
            <w:highlight w:val="white"/>
          </w:rPr>
          <w:t xml:space="preserve">Порядок</w:t>
        </w:r>
      </w:hyperlink>
      <w:r>
        <w:rPr>
          <w:sz w:val="28"/>
          <w:szCs w:val="28"/>
          <w:highlight w:val="white"/>
        </w:rPr>
        <w:t xml:space="preserve"> предоставления в 2026-2028 годах из краевого бюджета субсидий </w:t>
      </w:r>
      <w:r>
        <w:rPr>
          <w:bCs/>
          <w:color w:val="000000"/>
          <w:sz w:val="28"/>
          <w:szCs w:val="28"/>
          <w:highlight w:val="white"/>
        </w:rPr>
        <w:t xml:space="preserve">некоммерческим организациям </w:t>
      </w:r>
      <w:r>
        <w:rPr>
          <w:sz w:val="28"/>
          <w:szCs w:val="28"/>
          <w:highlight w:val="white"/>
        </w:rPr>
        <w:t xml:space="preserve">на финансовое обеспечение затрат в связи с оказанием услуг по проведению социологических исследований по вопросам незаконного потребления наркотических средств, пси</w:t>
      </w:r>
      <w:r>
        <w:rPr>
          <w:sz w:val="28"/>
          <w:szCs w:val="28"/>
          <w:highlight w:val="white"/>
        </w:rPr>
        <w:t xml:space="preserve">хотропных веществ и потребления алкогольной продукции в Камчатском крае, социологических исследований по выявлению факторов в Камчатском крае, способствующих возникновению и распространению идеологии терроризма, и </w:t>
      </w:r>
      <w:r>
        <w:rPr>
          <w:sz w:val="28"/>
          <w:szCs w:val="28"/>
          <w:highlight w:val="white"/>
        </w:rPr>
        <w:t xml:space="preserve">проведения отбора получателей субсидий сог</w:t>
      </w:r>
      <w:r>
        <w:rPr>
          <w:sz w:val="28"/>
          <w:szCs w:val="28"/>
          <w:highlight w:val="white"/>
        </w:rPr>
        <w:t xml:space="preserve">ласно приложению к настоящему постановлению.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2. </w:t>
      </w:r>
      <w:r>
        <w:rPr>
          <w:rFonts w:ascii="Times New Roman" w:hAnsi="Times New Roman"/>
          <w:sz w:val="28"/>
          <w:szCs w:val="28"/>
          <w:highlight w:val="white"/>
        </w:rPr>
        <w:t xml:space="preserve">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highlight w:val="white"/>
              </w:rPr>
            </w:r>
            <w:bookmarkStart w:id="1" w:name="_GoBack"/>
            <w:r>
              <w:rPr>
                <w:highlight w:val="white"/>
              </w:rPr>
            </w:r>
            <w:bookmarkEnd w:id="1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highlight w:val="white"/>
              </w:rPr>
            </w: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  <w:highlight w:val="white"/>
              </w:rPr>
              <w:t xml:space="preserve">[горизонтальный штамп подписи 1]</w:t>
            </w:r>
            <w:bookmarkEnd w:id="2"/>
            <w:r>
              <w:rPr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</w:r>
    </w:p>
    <w:tbl>
      <w:tblPr>
        <w:tblStyle w:val="705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</w:t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highlight w:val="white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highlight w:val="white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r>
          </w:p>
        </w:tc>
      </w:tr>
    </w:tbl>
    <w:p>
      <w:pPr>
        <w:pStyle w:val="1_634"/>
        <w:ind w:right="-2"/>
        <w:jc w:val="center"/>
        <w:spacing w:before="0" w:beforeAutospacing="0" w:after="0" w:afterAutospacing="0"/>
        <w:tabs>
          <w:tab w:val="left" w:pos="907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_634"/>
        <w:ind w:right="-2"/>
        <w:jc w:val="center"/>
        <w:spacing w:before="0" w:beforeAutospacing="0" w:after="0" w:afterAutospacing="0"/>
        <w:tabs>
          <w:tab w:val="left" w:pos="907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_634"/>
        <w:ind w:right="-2"/>
        <w:jc w:val="center"/>
        <w:spacing w:before="0" w:beforeAutospacing="0" w:after="0" w:afterAutospacing="0" w:line="240" w:lineRule="auto"/>
        <w:tabs>
          <w:tab w:val="left" w:pos="907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Порядок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_634"/>
        <w:ind w:right="-2"/>
        <w:jc w:val="center"/>
        <w:spacing w:before="0" w:beforeAutospacing="0" w:after="0" w:afterAutospacing="0" w:line="240" w:lineRule="auto"/>
        <w:tabs>
          <w:tab w:val="left" w:pos="907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в 2026-2028 годах из краевого бюджета субсидий </w:t>
      </w:r>
      <w:r>
        <w:rPr>
          <w:bCs/>
          <w:color w:val="000000"/>
          <w:sz w:val="28"/>
          <w:szCs w:val="28"/>
          <w:highlight w:val="white"/>
        </w:rPr>
        <w:t xml:space="preserve">некоммерческим организациям </w:t>
      </w:r>
      <w:r>
        <w:rPr>
          <w:bCs/>
          <w:sz w:val="28"/>
          <w:szCs w:val="28"/>
          <w:highlight w:val="white"/>
        </w:rPr>
        <w:t xml:space="preserve">на финансовое обеспечение затрат в связи с оказанием </w:t>
      </w:r>
      <w:r>
        <w:rPr>
          <w:sz w:val="28"/>
          <w:szCs w:val="28"/>
          <w:highlight w:val="white"/>
        </w:rPr>
        <w:t xml:space="preserve">услуг по проведению социологических исследований по вопросам незаконного потребления наркотических средств, психотропных веществ и потребления алкогольной продукции в Камчатском крае, социологических исс</w:t>
      </w:r>
      <w:r>
        <w:rPr>
          <w:sz w:val="28"/>
          <w:szCs w:val="28"/>
          <w:highlight w:val="white"/>
        </w:rPr>
        <w:t xml:space="preserve">ледований по выявлению факторов в Камчатском крае, способствующих возникновению и распространению идеологии терроризма, и проведения отбора получателей субсидий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Общие положения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Настоящий Порядок регулирует вопросы предоставления в 2026-2028 годах из кра</w:t>
      </w:r>
      <w:r>
        <w:rPr>
          <w:rFonts w:ascii="Times New Roman" w:hAnsi="Times New Roman"/>
          <w:sz w:val="28"/>
          <w:szCs w:val="28"/>
          <w:highlight w:val="white"/>
        </w:rPr>
        <w:t xml:space="preserve">евого бюджета за счет средств краевого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бюджета субсидий некоммерческим организациям на финансовое обеспечение затрат в связи с оказанием услуг по проведению социологических исследований по вопросам незаконного потребления наркотических средств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психотропны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х веществ и потребления алкогольной продукции в Камчатском крае, социологических исследований по выявлению факторов в Камчатском крае, способствующих возникновению и распространению идеологии терроризма (далее – субсидия), </w:t>
      </w:r>
      <w:r>
        <w:rPr>
          <w:rStyle w:val="662"/>
          <w:rFonts w:ascii="Times New Roman" w:hAnsi="Times New Roman"/>
          <w:sz w:val="28"/>
          <w:szCs w:val="28"/>
          <w:highlight w:val="white"/>
        </w:rPr>
        <w:t xml:space="preserve">в соответствии с планом проведения социологических исследований (мониторингов) в Камчатском крае на 2026 год, утвержденным ра</w:t>
      </w:r>
      <w:r>
        <w:rPr>
          <w:rStyle w:val="662"/>
          <w:rFonts w:ascii="Times New Roman" w:hAnsi="Times New Roman"/>
          <w:sz w:val="28"/>
          <w:szCs w:val="28"/>
          <w:highlight w:val="white"/>
        </w:rPr>
        <w:t xml:space="preserve">споряжением Губернатора Камчатского края от 05.02.2026 № 43-Р (далее – План</w:t>
      </w:r>
      <w:r>
        <w:rPr>
          <w:rStyle w:val="662"/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Style w:val="662"/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Style w:val="662"/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 целях достижения результатов ко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мплексов процессных мероприятий «Организация и проведение мониторинга наркоситуации и изучение масштабов потребления алкоголя населением Камчатского края» и «Проведение мониторинга общественно-политических, социально-экономических и иных процессов, происхо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дящих в Камчатском крае с целью выявления факторов, способствующих возникновению и распространению идеологии терроризма» государственной </w:t>
      </w:r>
      <w:hyperlink r:id="rId16" w:tooltip="https://login.consultant.ru/link/?req=doc&amp;base=RLAW296&amp;n=211388&amp;dst=10001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программы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Камчатского края «Безопасная Камчатка», утвержденной постановлением Правительства Камчатского края от 28.12.2023 № 700-П, и определяет порядок проведения отбора получателей субсидий (далее – отб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ор).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2. Субсидия носит целевой характер и не может быть израсходована на цели, не предусмотренные настоящим Порядком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 Субсидия предоставляется Министерством по внутренней политике и развитию Корякского округа Камчатского края (далее – Министерство), осу</w:t>
      </w:r>
      <w:r>
        <w:rPr>
          <w:rFonts w:ascii="Times New Roman" w:hAnsi="Times New Roman"/>
          <w:sz w:val="28"/>
          <w:szCs w:val="28"/>
          <w:highlight w:val="white"/>
        </w:rPr>
        <w:t xml:space="preserve">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</w:t>
      </w:r>
      <w:r>
        <w:rPr>
          <w:rFonts w:ascii="Times New Roman" w:hAnsi="Times New Roman"/>
          <w:sz w:val="28"/>
          <w:szCs w:val="28"/>
          <w:highlight w:val="white"/>
        </w:rPr>
        <w:t xml:space="preserve">бсидии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на </w:t>
      </w:r>
      <w:r>
        <w:rPr>
          <w:rStyle w:val="662"/>
          <w:rFonts w:ascii="Times New Roman" w:hAnsi="Times New Roman"/>
          <w:sz w:val="28"/>
          <w:highlight w:val="white"/>
        </w:rPr>
        <w:t xml:space="preserve">соответствующий финансовый год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Субсидия предоставляется в пределах лимитов бюджетных обязательств, доведенных в установленном порядке до Министерства на предоставление субсидии.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Способом предоставления субсидии является финансовое обеспечение затрат.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4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. 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Информация о Субсидии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размещается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на едином портале бюджетной системы Российской Федерации в информационно-телекоммуникационной сети «Интернет» (в разделе единого портала)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в порядке, установленном Министерством финансов Российской Федерации, в течение 10 рабочих дней со дня, следующего за днем доведения бюджетных ас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сигнований на 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предоставление субсидий до Министерства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Иные положения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_135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 </w:t>
      </w:r>
      <w:r>
        <w:rPr>
          <w:color w:val="000000"/>
          <w:sz w:val="28"/>
          <w:szCs w:val="28"/>
          <w:highlight w:val="white"/>
        </w:rPr>
        <w:t xml:space="preserve">Направлением расходов, источником финансового обеспечения которых является субсидия, являются расходы по организации и проведению социологических исследований (мониторингов), указанных в строках 4 и 11 таблицы Плана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_1356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6. Получатель субсидии (участник отбора) должен соответствовать следующим требованиям на д</w:t>
      </w:r>
      <w:r>
        <w:rPr>
          <w:color w:val="000000"/>
          <w:sz w:val="28"/>
          <w:szCs w:val="28"/>
          <w:highlight w:val="white"/>
        </w:rPr>
        <w:t xml:space="preserve">аты рассмотрения заявки для участия в отборе (далее – заявка) и заключения соглашения о предоставлении субсидии (далее – соглашение)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получатель субсидии (участник отбора) не является иностранным юридическим лицом, в том числе местом регистрации которог</w:t>
      </w:r>
      <w:r>
        <w:rPr>
          <w:rFonts w:ascii="Times New Roman" w:hAnsi="Times New Roman"/>
          <w:sz w:val="28"/>
          <w:szCs w:val="28"/>
          <w:highlight w:val="white"/>
        </w:rPr>
        <w:t xml:space="preserve">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</w:t>
      </w:r>
      <w:r>
        <w:rPr>
          <w:rFonts w:ascii="Times New Roman" w:hAnsi="Times New Roman"/>
          <w:sz w:val="28"/>
          <w:szCs w:val="28"/>
          <w:highlight w:val="white"/>
        </w:rPr>
        <w:t xml:space="preserve">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</w:t>
      </w:r>
      <w:r>
        <w:rPr>
          <w:rFonts w:ascii="Times New Roman" w:hAnsi="Times New Roman"/>
          <w:sz w:val="28"/>
          <w:szCs w:val="28"/>
          <w:highlight w:val="white"/>
        </w:rPr>
        <w:t xml:space="preserve">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</w:t>
      </w:r>
      <w:r>
        <w:rPr>
          <w:rFonts w:ascii="Times New Roman" w:hAnsi="Times New Roman"/>
          <w:sz w:val="28"/>
          <w:szCs w:val="28"/>
          <w:highlight w:val="white"/>
        </w:rPr>
        <w:t xml:space="preserve">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получатель субсидии (</w:t>
      </w:r>
      <w:r>
        <w:rPr>
          <w:rFonts w:ascii="Times New Roman" w:hAnsi="Times New Roman"/>
          <w:sz w:val="28"/>
          <w:szCs w:val="28"/>
          <w:highlight w:val="white"/>
        </w:rPr>
        <w:t xml:space="preserve">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получатель субсидии (участник отбора) не находится в составляемых в рамках реализ</w:t>
      </w:r>
      <w:r>
        <w:rPr>
          <w:rFonts w:ascii="Times New Roman" w:hAnsi="Times New Roman"/>
          <w:sz w:val="28"/>
          <w:szCs w:val="28"/>
          <w:highlight w:val="white"/>
        </w:rPr>
        <w:t xml:space="preserve">ации полномочий, предусмотренных </w:t>
      </w:r>
      <w:hyperlink r:id="rId17" w:tooltip="https://login.consultant.ru/link/?req=doc&amp;base=LAW&amp;n=121087&amp;dst=100142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главой VII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Устава ООН, Советом Безопасности ООН или органами</w:t>
      </w:r>
      <w:r>
        <w:rPr>
          <w:rFonts w:ascii="Times New Roman" w:hAnsi="Times New Roman"/>
          <w:sz w:val="28"/>
          <w:szCs w:val="28"/>
          <w:highlight w:val="white"/>
        </w:rPr>
        <w:t xml:space="preserve">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 получатель субсидии (участник отбора) не по</w:t>
      </w:r>
      <w:r>
        <w:rPr>
          <w:rFonts w:ascii="Times New Roman" w:hAnsi="Times New Roman"/>
          <w:sz w:val="28"/>
          <w:szCs w:val="28"/>
          <w:highlight w:val="white"/>
        </w:rPr>
        <w:t xml:space="preserve">лучает средства из краевого бюджета на основании иных нормативных правовых актов Камчатского края на цели, установленные настоящим Порядком;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18" w:tooltip="https://login.consultant.ru/link/?req=doc&amp;base=LAW&amp;n=493204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от 14.07.2022 № 255-ФЗ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«О контроле за деятельностью лиц, находящихся под иностранным влиянием»;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6) у получателя 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 (участника отбора) на едином налоговом счете отсутствует или не превышает размер, определенный </w:t>
      </w:r>
      <w:hyperlink r:id="rId19" w:tooltip="https://login.consultant.ru/link/?req=doc&amp;base=LAW&amp;n=466838&amp;dst=5769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</w:t>
        </w:r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унктом 3 статьи 47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7) у получателя субсидии (участника отбора) отсутствует просроченная задолженность по </w:t>
      </w:r>
      <w:r>
        <w:rPr>
          <w:rFonts w:ascii="Times New Roman" w:hAnsi="Times New Roman"/>
          <w:sz w:val="28"/>
          <w:szCs w:val="28"/>
          <w:highlight w:val="white"/>
        </w:rPr>
        <w:t xml:space="preserve">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Камчатским краем;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8) получатель субсидии (участник отбора) не находится в процессе реорганизации (за</w:t>
      </w:r>
      <w:r>
        <w:rPr>
          <w:rFonts w:ascii="Times New Roman" w:hAnsi="Times New Roman"/>
          <w:sz w:val="28"/>
          <w:szCs w:val="28"/>
          <w:highlight w:val="white"/>
        </w:rPr>
        <w:t xml:space="preserve"> исключением реорганизации в форме присоединения к получателю субсидии (участнику отбора)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</w:t>
      </w:r>
      <w:r>
        <w:rPr>
          <w:rFonts w:ascii="Times New Roman" w:hAnsi="Times New Roman"/>
          <w:sz w:val="28"/>
          <w:szCs w:val="28"/>
          <w:highlight w:val="white"/>
        </w:rPr>
        <w:t xml:space="preserve">дке, предусмотренном законодательством Российской Федерации;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9)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</w:t>
      </w:r>
      <w:r>
        <w:rPr>
          <w:rFonts w:ascii="Times New Roman" w:hAnsi="Times New Roman"/>
          <w:sz w:val="28"/>
          <w:szCs w:val="28"/>
          <w:highlight w:val="white"/>
        </w:rPr>
        <w:t xml:space="preserve">о органа, или главном бухгалтере (при наличии) получателя субсидии (участника отбора).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7. Министерство проводит проверку получателя субсидии (участника отбора) на соответствие требованиям, установленным </w:t>
      </w:r>
      <w:hyperlink r:id="rId20" w:tooltip="https://login.consultant.ru/link/?req=doc&amp;base=RLAW296&amp;n=211106&amp;dst=100022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частью 6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настоящего Порядка, в порядке и сроки, установленные </w:t>
      </w:r>
      <w:hyperlink r:id="rId21" w:tooltip="https://login.consultant.ru/link/?req=doc&amp;base=RLAW296&amp;n=211106&amp;dst=10015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частью 5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6 настоящего Порядка.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8. Основаниями для отказа получателю субсидии в предоставлении субсидии являются: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1) несоответствие представленных получателем субс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идии документов требованиям, установленным в </w:t>
      </w:r>
      <w:hyperlink r:id="rId22" w:tooltip="https://login.consultant.ru/link/?req=doc&amp;base=RLAW296&amp;n=212692&amp;dst=10013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части 43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настоящего Порядка, или непредставление (представление не в полном объеме) указанных документов;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установление факта недостоверности представленной получателем субсидии информации;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3) несоответствие получателя субсидии требованиям, установленным частью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6 настоящего Порядка;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4) неподписание победителем отбора усиленной квалифицированной электронной подписью проекта соглашения в государственной интегрированной информационной системе управления общественными финансами «Электронный бюджет» (далее – система «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Электронный бюджет») в срок, предусмотренный </w:t>
      </w:r>
      <w:hyperlink r:id="rId23" w:tooltip="https://login.consultant.ru/link/?req=doc&amp;base=RLAW296&amp;n=212692&amp;dst=10005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пунктом 2 части 12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szCs w:val="28"/>
          <w:highlight w:val="white"/>
        </w:rPr>
        <w:t xml:space="preserve">Порядка.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. Размер субсидии определяется по следующей формуле: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j</w:t>
      </w:r>
      <w:r>
        <w:rPr>
          <w:rFonts w:ascii="Times New Roman" w:hAnsi="Times New Roman"/>
          <w:sz w:val="28"/>
          <w:szCs w:val="28"/>
          <w:highlight w:val="white"/>
        </w:rPr>
        <w:t xml:space="preserve"> = К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</w:rPr>
        <w:t xml:space="preserve"> + К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</w:rPr>
        <w:t xml:space="preserve">, где: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bscript"/>
        </w:rPr>
        <w:t xml:space="preserve">j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– размер субсидии j-ому получателю субсидии на цели, указанные в части 1 настоящего Порядка;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bscript"/>
        </w:rPr>
        <w:t xml:space="preserve">1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– по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требность j-того получателя субсидии по расчетам Министерства на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проведение социологического исследования (мониторинга), указанного в строке 4 таблицы Плана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bscript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– потре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бность j-того получателя субсидии по расчетам Министерства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проведение социологического исследования (мониторинга), указанного в строке 4 таблицы Плана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10. По результатам отбора с победителем (победителями) отбора заключается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соглашение в системе «Электронный бюджет» в порядке и сроки, установленные </w:t>
      </w:r>
      <w:hyperlink r:id="rId24" w:tooltip="https://login.consultant.ru/link/?req=doc&amp;base=RLAW296&amp;n=212692&amp;dst=100049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12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типовыми формами, установленными Министерством финансов Камчатского кра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я,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11. Обязательными условиями предоставления субсидии являются: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включаемыми соответственно в соглашение и договоры (соглашения), заключенные с получателями субсидии: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а) согласие получателя субсидии, лиц, получающих средс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тва на основании договоров (соглашений), заключенных с получателями субсидии (за исключением государственных унитарных предприятий, хозяйственных товариществ и обществ с участием публично-правовых образований в их уставных (складочных) капиталах, коммерчес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ения субсидии, а также проверки органами государственного финансового контроля в соответствии со </w:t>
      </w:r>
      <w:hyperlink r:id="rId25" w:tooltip="https://login.consultant.ru/link/?req=doc&amp;base=LAW&amp;n=466790&amp;dst=3704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статьями 268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26" w:tooltip="https://login.consultant.ru/link/?req=doc&amp;base=LAW&amp;n=466790&amp;dst=372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269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б) запрет приобретения получателями субсидии –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краевого бюджета средств иностранной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валюты, за исключением операций, осуществляемых в соответствии с валютным законодательством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Российской Федерации при закупке (поставке) высокотехнологичного импортного оборудования, сырья и комплектующих изделий;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включаемыми в соглашение: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а) в случае 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меньшения Министерству ранее доведенных лимитов бюджетных обязательств на цели, указанные в </w:t>
      </w:r>
      <w:hyperlink r:id="rId27" w:tooltip="https://login.consultant.ru/link/?req=doc&amp;base=RLAW296&amp;n=211106&amp;dst=10001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приводящего к невозможности предоставления субсидии в размере, определенном в соглашении, Министерство осуществляет с получателем субсидии согласование новых условий соглашения или расторгает соглашение при недостижении 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огласия по новым условиям;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б) принятие получателем субсидии обязательства о достижении в году предоставления субсидии результатов предоставления субсидии в соответствии с заключенным между Министерством и получателем субсидии соглашением;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в) принятие получ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ателем субсидии обязательства представления отчетности в порядке и сроки, указанные в </w:t>
      </w:r>
      <w:hyperlink r:id="rId28" w:tooltip="https://login.consultant.ru/link/?req=doc&amp;base=RLAW296&amp;n=211106&amp;dst=100068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9 настоящего Порядка.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12. Заключение соглашения осуществляется в следующем порядке и сроки: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Министерство в течение 10 рабочих дней со дня формирования на едином портале протокола подведения итогов отбора формирует проект соглашения и направляет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его получателю субсидии посредством системы «Электронный бюджет»;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получатель субсидии в течение 5 рабочих дней со дня формирования и направления проекта соглашения Министерством в системе «Электронный бюджет» подписывает его усиленной квалифицированной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электронной подписью;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Министерство в течение 7 рабочих дней со дня подписания получателем субсидии соглашения усиленной квалифицированной электронной подписью осуществляет проверку получателя субсидии в порядке, установленном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hyperlink r:id="rId29" w:tooltip="https://login.consultant.ru/link/?req=doc&amp;base=RLAW296&amp;n=212692&amp;dst=100161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5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 настоящего Порядка, на соответствие требованиям, установленным </w:t>
      </w:r>
      <w:hyperlink r:id="rId30" w:tooltip="https://login.consultant.ru/link/?req=doc&amp;base=RLAW296&amp;n=212692&amp;dst=100023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6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и в случае соответствия получателя субсидии подписывает его со своей стороны усиленной квалифиц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ированной электронной подписью в системе «Электронный бюджет»;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соглашение считается заключенным после подписания его получателем субсидии и Министерством, при этом дата заключения соглашения, сведения о которой содержатся в реестре соглашений (договоров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– производителям товаров, работ, услуг и межбюджетных трансфертов бюджетам бюджетной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системы Российской Федерации, порядок ведения которого утвержден </w:t>
      </w:r>
      <w:hyperlink r:id="rId31" w:tooltip="https://login.consultant.ru/link/?req=doc&amp;base=LAW&amp;n=452386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приказом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Министерства финансов Российской Федераци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 от 19.06.2023 № 92н, является днем принятия решения о предоставлении субсидии.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13. Победитель отбора признается уклонившимся от заключения соглашения в случае неподписания усиленной квалифицированной электронной подписью проекта соглашения в системе «Эле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ктронный бюджет» в срок, предусмотренный </w:t>
      </w:r>
      <w:hyperlink w:tooltip="#Par2" w:anchor="Par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пунктом 2 части 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 настоящего Порядка.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14. В случаях, предусмотренных законодательством Российской Федерации и (или) законодательством Камчатского края, в соглашение могут быть вне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сены изменения посредством заключения дополнительного соглашения к соглашению.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Министерство в течение 7 рабочих дней со дня принятия решения о заключении дополнительного соглашения к соглашению (дополнительного соглашения о расторжении соглашения) формируе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 проект дополнительного соглашения к соглашению (дополнительного соглашения о расторжении соглашения) и направляет его получателю субсидии посредством системы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Получатель субсидии в течение 10 рабочих дней со дня формирования и направления проекта дополнительного соглашения (дополнительного соглашения о расторжении соглашения) в системе «Электронный бюджет», но не позднее 20 декабря соответствующего финансового 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ода, подписывает усиленной квалифицированной электронной подписью проект дополнительного соглашения к соглашению (дополнительного соглашения о расторжении соглашения)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Министерство в течение 5 рабочих дней со дня подписания 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силенной квалифицированной электронной подписью получателем субсидии дополнительного соглашения к соглашению (дополнительного соглашения о расторжении соглашения) подписывает его со своей стороны усиленной квалифицированной электронной подписью в системе 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15. Министерство перечисляет субсидию согласно плану-графику, утвержденному соглашением,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на счет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получателя субсидии, открытый в учреждениях Центрального банка Российской Федерации или кредитных организа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ций, реквизиты которого указаны в соглашении.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16. Результатами предоставления субсидии по состоянию 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31 декабря 2026 года являются: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в декабре 2026 года проведено 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оциологическое исследование (мониторинг), указанное в строке 4 таблицы Плана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в декабре 2026 года проведено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оциологическое исследование (мониторинг), указанное в строке 11 таблицы Плана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17. Значения результатов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предоставления субсидии устанавливаются Министерством в соглашении.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18.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 реорганизации получателя субсидии, являющегося юридическим лицом, в форме разделения, выделения, а также при ликвида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ции получателя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субсидии обязательствах, источником финансового обеспечения которых является субсидия, и возврате неиспользованного остатка субсидии в краевой бюджет.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19. Получатель субсидии ежеквартально в срок до 15 числа месяца, следующего за отчетным кварталом, предс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тавляет посредством системы «Электронный бюджет» отчеты по формам, предусмотренным типовыми формами, установленными Министерством финансов Камчатского края: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отчет о достижении значения результатов предоставления субсидии; отчет об осуществлении расходов, 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сточником финансового обеспечения которых является субсидия.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20. Министерство осуществляет проверку отчетов, указанных в части 19 настоящего Порядка, устанавливает полноту и достоверность сведений, содержащихся в отчетах и в прилагаемых к отчетам документа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х (при наличии), в течение 20 рабочих дней со дня окончания срока их представления получателем субсидии.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21. Отчеты, указанные в части 19 настоящего Порядка, считаются принятыми в случае отсутствия нарушений по результатам их проверки и подписания усиленн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ой квалифицированной электронной подписью Министром по внутренней политике и развитию Корякского округа Камчатского края (уполномоченным им лицом)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22. В случае непринятия отчетов, 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казанных в части 19 настоящего Порядка, получатель субсидии автоматически информируется посредством системы «Электронный бюджет»» об отклонении отчетов с указанием сроков предоставления скорректированных отчетов и причин отклонения по следующим основаниям: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непредставление (представление не в полном объеме) отчетов;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некорректное заполнение (незаполнение) получателем субсидии всех обязательных для заполнения граф, предусмотренных в отчете;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недостоверность информации, содержащейся в отчетах.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23. Остат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ки неиспользованной в отчетном финансовом году субсидии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которых является указанная субсидия) по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длежат возврату в доход краевого бюджета не позднее 15 февраля очередного финансового года.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24. Министерство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соглашением, и событий, отражающих факт завершения соответствующего мероприятия по получении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25. Министерство осущест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вляет проверки соблюдения получателем субсидии, а также лицами, получившими средства субсидии на основании договоров (соглашений), заключенных в целях исполнения обязательств по соглашению, порядка и условий предоставления субсидии, в том числе в части достижения 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езультата предоставления субсидии, а органы государственного финансового контроля осуществляют проверки в соответствии со </w:t>
      </w:r>
      <w:hyperlink r:id="rId32" w:tooltip="https://login.consultant.ru/link/?req=doc&amp;base=LAW&amp;n=466790&amp;dst=3704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статьями 268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33" w:tooltip="https://login.consultant.ru/link/?req=doc&amp;base=LAW&amp;n=466790&amp;dst=372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269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26. Минист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ерство оформляет результаты проверок в порядке, установленном пунктами 48–59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постановлением Правительства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от 17.08.2020 № 1235.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27. 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Министерством и органа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ми государственного финансового контроля, а также в случае недостижения значений результатов предоставления субсидии, субсидия подлежит возврату в краевой бюджет.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28. Получатель субсидии обязан возвратить средства субсидии в краевой бюджет в следующем поря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дке и сроки: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в случае выявления нарушения органами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в случае вы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явления нарушения Министерством – в течение 20 рабочих дней со дня получения требования Министерства;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в иных случаях – в течение 20 рабочих дней со дня выявления нарушения.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29. Письменное требование о возврате субсидии или ее части в краевой бюджет напр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авляется Министерством получателю субсидии в течение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15 рабочих дней со дня выявления нарушений по фактам проверок, проведенных Министерством и (или) органами государственного финансового контроля, посредством электронной связи, почтового отправления, наро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чным или иным способом, обеспечивающим подтверждение получения указанного требования получателем субсидии, в том числе посредством системы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30. Получатель субсидии обязан возвратить средства субсидии в краевой бюджет в следующих размера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х: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в случае нарушения целей предоставления субсидии – в размере нецелевого использования средств субсидии;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в случае нарушения условий и порядка предоставления субсидии – в полном объеме;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в случае недостижения значений результатов предоставления субсидии, установленных в соглашении, – в размере, определенном по следующей формуле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возврата</w:t>
      </w:r>
      <w:r>
        <w:rPr>
          <w:rFonts w:ascii="Times New Roman" w:hAnsi="Times New Roman"/>
          <w:sz w:val="28"/>
          <w:szCs w:val="28"/>
          <w:highlight w:val="white"/>
        </w:rPr>
        <w:t xml:space="preserve"> = V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 х (1 - Т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highlight w:val="white"/>
        </w:rPr>
        <w:t xml:space="preserve">/S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highlight w:val="white"/>
        </w:rPr>
        <w:t xml:space="preserve">)/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/>
          <w:sz w:val="28"/>
          <w:szCs w:val="28"/>
          <w:highlight w:val="white"/>
        </w:rPr>
        <w:t xml:space="preserve">), где: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возврата</w:t>
      </w:r>
      <w:r>
        <w:rPr>
          <w:rFonts w:ascii="Times New Roman" w:hAnsi="Times New Roman"/>
          <w:sz w:val="28"/>
          <w:szCs w:val="28"/>
          <w:highlight w:val="white"/>
        </w:rPr>
        <w:t xml:space="preserve"> – размер субсидии, подлежащей возврату;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 – размер субсидии, предоставленной получателю субсидии;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highlight w:val="white"/>
        </w:rPr>
        <w:t xml:space="preserve"> – фактически достигнутое значение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highlight w:val="white"/>
        </w:rPr>
        <w:t xml:space="preserve">-го результата предоставления субсидии на отчетную дату;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S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highlight w:val="white"/>
        </w:rPr>
        <w:t xml:space="preserve"> – плановое значение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highlight w:val="white"/>
        </w:rPr>
        <w:t xml:space="preserve">-го результата предоставления субсидии, установленное Соглашением;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/>
          <w:sz w:val="28"/>
          <w:szCs w:val="28"/>
          <w:highlight w:val="white"/>
        </w:rPr>
        <w:t xml:space="preserve"> – общее кол</w:t>
      </w:r>
      <w:r>
        <w:rPr>
          <w:rFonts w:ascii="Times New Roman" w:hAnsi="Times New Roman"/>
          <w:sz w:val="28"/>
          <w:szCs w:val="28"/>
          <w:highlight w:val="white"/>
        </w:rPr>
        <w:t xml:space="preserve">ичество результатов предоставления субсидии, установленное Соглашением.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31. При невозврате средств субсидии в сроки, установленные </w:t>
      </w:r>
      <w:hyperlink w:tooltip="#Par73" w:anchor="Par73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частью 28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настоящего Порядка, Министерство принимает необходимые меры по взысканию подле</w:t>
      </w:r>
      <w:r>
        <w:rPr>
          <w:rFonts w:ascii="Times New Roman" w:hAnsi="Times New Roman"/>
          <w:sz w:val="28"/>
          <w:szCs w:val="28"/>
          <w:highlight w:val="white"/>
        </w:rPr>
        <w:t xml:space="preserve">жащей возврату в краевой бюджет субсидии в судебном порядке в срок не позднее 30 рабочих дней со дня, когда Министерству стало известно о неисполнении получателем субсидии обязанности возвратить средства субсидии в краевой бюджет.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32. В случае нарушений, в</w:t>
      </w:r>
      <w:r>
        <w:rPr>
          <w:rFonts w:ascii="Times New Roman" w:hAnsi="Times New Roman"/>
          <w:sz w:val="28"/>
          <w:szCs w:val="28"/>
          <w:highlight w:val="white"/>
        </w:rPr>
        <w:t xml:space="preserve"> том числе выявленных по фактам проверок, проведенных Министерством и (или) органами государственного финансового контроля, лица, получившие средства субсидии на основании договоров (соглашений), заключенных с получателем субсидии, обязаны возвратить в сроки, не пр</w:t>
      </w:r>
      <w:r>
        <w:rPr>
          <w:rFonts w:ascii="Times New Roman" w:hAnsi="Times New Roman"/>
          <w:sz w:val="28"/>
          <w:szCs w:val="28"/>
          <w:highlight w:val="white"/>
        </w:rPr>
        <w:t xml:space="preserve">евышающие сроки, указанные в </w:t>
      </w:r>
      <w:hyperlink w:tooltip="#Par73" w:anchor="Par73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части 2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8 </w:t>
      </w:r>
      <w:r>
        <w:rPr>
          <w:rFonts w:ascii="Times New Roman" w:hAnsi="Times New Roman"/>
          <w:sz w:val="28"/>
          <w:szCs w:val="28"/>
          <w:highlight w:val="white"/>
        </w:rPr>
        <w:t xml:space="preserve">настоящего Порядка, средства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, полученные за счет средств субсидии, на счет получателя субсидии в целях последующего возврата указанных средств получателем субсидии в краевой бюджет </w:t>
      </w:r>
      <w:r>
        <w:rPr>
          <w:rFonts w:ascii="Times New Roman" w:hAnsi="Times New Roman"/>
          <w:sz w:val="28"/>
          <w:szCs w:val="28"/>
          <w:highlight w:val="white"/>
        </w:rPr>
        <w:t xml:space="preserve">в срок не позднее 10 рабочих дней со дня поступления денежных средств на счет получателя субсидии.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33. Письменное требование о возврате средств, полученных за счет средств субсидии, направляется получателем субсидии лицам, получившим средства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основании </w:t>
      </w:r>
      <w:r>
        <w:rPr>
          <w:rFonts w:ascii="Times New Roman" w:hAnsi="Times New Roman"/>
          <w:sz w:val="28"/>
          <w:szCs w:val="28"/>
          <w:highlight w:val="white"/>
        </w:rPr>
        <w:t xml:space="preserve">договоров (соглашений), заключенных с получателем субсидии, и нарушившим порядок и условия предоставления субсидии, в течение 15 рабочих дней со дня выявления нарушений по фактам проверок, проведенных Министерством.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34. В случае невозврата лицами, указанны</w:t>
      </w:r>
      <w:r>
        <w:rPr>
          <w:rFonts w:ascii="Times New Roman" w:hAnsi="Times New Roman"/>
          <w:sz w:val="28"/>
          <w:szCs w:val="28"/>
          <w:highlight w:val="white"/>
        </w:rPr>
        <w:t xml:space="preserve">ми в </w:t>
      </w:r>
      <w:hyperlink w:tooltip="#Par91" w:anchor="Par9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части 32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настоящего Порядка, средств, полученных за счет средств субсидии на счет получателя субсидии, получатель субсидии принимает необходимые меры по взысканию подлежащих возврату в краевой бюджет средств , полу</w:t>
      </w:r>
      <w:r>
        <w:rPr>
          <w:rFonts w:ascii="Times New Roman" w:hAnsi="Times New Roman"/>
          <w:sz w:val="28"/>
          <w:szCs w:val="28"/>
          <w:highlight w:val="white"/>
        </w:rPr>
        <w:t xml:space="preserve">ченных за счет средств субсидии, в судебном порядке в срок не позднее 30 рабочих дней со дня, когда получателю субсидии стало известно о неисполнении лицами, указанными в части 32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настоящего Порядка, обязанности возвратить средства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на счет получателя субсидии.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auto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  <w:t xml:space="preserve">3. Отбор получателей субсидии</w:t>
      </w: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35. Отбор получателей субсидии осуществляется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Информация о проведении отбора размещается на едином портале и официальном сайте исполнительных органов Камчатского края на странице Министерства в сети «Интернет» </w:t>
      </w:r>
      <w:hyperlink r:id="rId34" w:tooltip="https://minter.kamgov.ru" w:history="1">
        <w:r>
          <w:rPr>
            <w:rStyle w:val="681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https://</w:t>
        </w:r>
        <w:r>
          <w:rPr>
            <w:rStyle w:val="681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  <w:lang w:val="en-US"/>
          </w:rPr>
          <w:t xml:space="preserve">minter</w:t>
        </w:r>
        <w:r>
          <w:rPr>
            <w:rStyle w:val="681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.kamgov</w:t>
        </w:r>
        <w:r>
          <w:rPr>
            <w:rStyle w:val="681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.ru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разделе «Текущая деятельность» (далее – официальный сайт Министерства).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 проведении отбора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Доступ к сис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36. Для проведения отбора применяется способ отбора в виде запроса предложений, исходя из соответствия участника отбора категории, критерию отбора и очередности по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ступления заявок.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37. К категории отбора относятся социально ориентированные некоммерческие организации (за исключением государственных (муниципальных) учреждений), зарегистрированные на территории Камчатского края в порядке, установленном законодательство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 Российской Федерации, и осуществляющие на территории Камчатского края в соответствии со своими учредительными документами деятельность по изучению общественного мнения.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38. Критерием отбора является наличие у участника отбора опыта изучения общественного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мнения не менее 1 года.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39. Министерство в течение текущего финансового года, но не позднее чем за 3 календарных дня до начала приема заявок, размещает на едином портале и официальном сайте Министерства объявление о проведении отбора (далее – объявление).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40. Объявление формируется в электронной форме посредством заполнения соответствующих экранных форм веб-интерфейса системы «Электронный бюджет» и включает в себя в соответствии с настоящим Порядком следующую информацию: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дату размещения объявления;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сроки проведения 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дату начала подачи и окончания приема заявок;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наименование, место нахождения, почтовый адрес, адрес электронной почты Министерства;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5) результаты предоставления субсидии;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6) доменное имя и (или) указатели страниц официальн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ого сайта Министерства;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7) требования к участнику отбора, установленные в соответствии 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hyperlink r:id="rId35" w:tooltip="https://login.consultant.ru/link/?req=doc&amp;base=RLAW296&amp;n=212692&amp;dst=100023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6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 и к перечню документов, представляемых участником отбора для подтверждения соответствия указанным требованиям;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8) категории и критерий 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9) порядок подачи участниками отбора заявок и требования, предъявляемые к форме 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содержанию заявок;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10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11) правила рассмотрения и оценки заявок;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12) порядок возврата заявок на доработку;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13) порядок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отклонения заявок, а также информацию об основаниях их отклонения;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14) объем распределяемой субсидии в рамках отбора, порядок расчета размера субсидии, установленный </w:t>
      </w:r>
      <w:hyperlink r:id="rId36" w:tooltip="https://login.consultant.ru/link/?req=doc&amp;base=RLAW296&amp;n=212692&amp;dst=100035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9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правила распределения субсидии по результатам отбора, а также предельное количество победителей 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15) порядок предоставления участникам отбо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ра разъяснений положений объявления, даты начала и окончания срока такого предоставления;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16) срок, в течение которого победитель (победители) отбора должен подписать соглашение;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17) условия признания победителя (победителей) отбора уклонившимся от заключе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ния соглашения;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18) срок размещения протокола подведения итогов отбора на едином портале и официальном сайте Министерства, которые не могут быть позднее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14 календарного дня, следующего за днем определения победителя 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19) порядок внесения изменений 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объявление.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1_1356"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41. Внесение изменений в объявление осуществляется Министерством </w:t>
      </w:r>
      <w:r>
        <w:rPr>
          <w:color w:val="000000" w:themeColor="text1"/>
          <w:sz w:val="28"/>
          <w:szCs w:val="28"/>
          <w:highlight w:val="white"/>
        </w:rPr>
        <w:t xml:space="preserve">в порядке, аналогичном порядку формирования объявления, установленному частью 40 настоящего Порядка, не позднее наступления даты окончания приема заявок участников отбора при соблюдении следующих условий: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срок подачи участниками отбора заявок продлевает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способ отбора не изменяется;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в случае внесения изменений в объявление после наступления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даты начала приема заявок в объявление включается положение, предусматривающее право участников отбора внести изменения в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участники отбора, подавшие заявку, уведомляются о внесении изменений в объявление не позднее дня, следующего за днем внесе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ния изменений в объявление, с использованием системы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42. Участник отбора представляет не более одной заявки.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43. Заявка формируется участником отбора в электронной форме посредством заполнения соответствующих экранных фор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 веб-интерфейса в системе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содержит следующие сведения и документы: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полное наименование участника отбора, сведения об организационно-правовой форме, о месте нахождения, идентификационный номер налогоплательщика (при наличии), реквизиты расчетного или корреспондентского счета участника отбора, открытого в учреждениях Це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нтрального банка Российской Федерации или кредитных организация;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документы, подтверждающие соответствие участника отбора требованиям, установленным в объявлении (оформляются в произвольной форме в системе «Электронный бюджет» путем проставления в электр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онном виде участником отбора отметок о соответствии требованиям посредством заполнения соответствующих экранных форм веб-интерфейса системы «Электронный бюджет»);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информацию и документы, представляемые при проведении отбора: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а) согласие на публикацию (р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ответствующих экранных форм веб-интерфейса системы «Электронный бюджет»;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б) согласие на обработку персональных данных, подаваемое посредством заполнения соответствующих экранных форм веб-интерфейса системы «Электронный бюджет» (в отношении руководителей уч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астников отбора и их главных бухгалтеров);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предлагаемое участником отбора значение результата предоставления субсидии и размер запрашиваемой субсидии;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5) справку, подтверждающую соответствие участник отбора критерию отбора, установленному частью 38 наст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оящего Порядка (оформляется в произвольной форме);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6) заверенную копию устава.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44. Заявка подписывается усиленной квалифицированной электронной подписью участника отбора или уполномоченного им лица.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45. Электронные копии документов, включаемые в заявку, до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46. Ответственность за полноту и достов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47. Датой и временем представления участником отбора заявки считаются дата 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время подписания участником отбора усиленной квалифицированной электронной подписью указанной заявки с присвоением ей регистрационного номера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48. Дата окончания приема заявок участников отбора, указанная 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hyperlink w:tooltip="#Par13" w:anchor="Par13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пункте 3 части 40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не может быть ранее: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10 календарного дня, следующего за днем размещения объявления, в случае если отсутствует информация о количестве участников отбора, соответствующих категории и (или) критерию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5 календарного дня, следующего за днем размещения объявления, в случае если имеется информация о количестве участников отбора, соответствующих категории и (или) критерию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49. Участник отбора, подавший заявку, вправе отозвать заявку. Заявк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 может быть отозвана в срок не позднее 1 рабочего дня до дня окончания срока приема заявок. Отзыв заявки участником отбора осуществляется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50. Внесение изменений в заявку осуществляется участником отбора в пределах срока, ус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тановленного для подачи заявок, но не позднее дня окончания срока приема заявок в системе «Электронный бюджет» и последующего формирования новой заявки в порядке, аналогичном порядку формирования заявки, указанному в </w:t>
      </w:r>
      <w:hyperlink w:tooltip="#Par37" w:anchor="Par37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</w:t>
        </w:r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сти 43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Порядка. При этом ранее поданная заявка считается отозванной.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1_1356"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51. Решение Министерства о возврате заявок на доработку принимаются в равной мере ко всем участникам отбора, при рассмотрении заявок которых выявлены основания для их возврата </w:t>
      </w:r>
      <w:r>
        <w:rPr>
          <w:color w:val="000000" w:themeColor="text1"/>
          <w:sz w:val="28"/>
          <w:szCs w:val="28"/>
          <w:highlight w:val="white"/>
        </w:rPr>
        <w:t xml:space="preserve">на доработку, а также доводятся до участников отбора путем формирования в системе «Электронный бюджет» соответствующего уведомления в течение 1 рабочего дня со дня их принятия с указанием оснований для возврата заявки, а также положений заявки, нуждающихся</w:t>
      </w:r>
      <w:r>
        <w:rPr>
          <w:color w:val="000000" w:themeColor="text1"/>
          <w:sz w:val="28"/>
          <w:szCs w:val="28"/>
          <w:highlight w:val="white"/>
        </w:rPr>
        <w:t xml:space="preserve"> в доработке.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Срок представления доработанной участником отбора заявки в Министерство не должен превышать 3 рабочих дней со дня возврата ему заявки для доработки.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Доработанная участником отбора заявка, поступившая позже срока, указанного в абзаце втором 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астоящей части, Министерством не рассматривается.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52. Любой участник отбора со дня размещения объявления на едином портале и официальном сайте Министерства не позднее 3 рабочего дня до дня завершения подачи заявок вправе направить Министерству не более 5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запросов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 разъяснении положений объявления (далее – запрос) путем формирования в системе «Электронный бюджет» соответствующего запроса.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53. Министерство в ответ на запрос, указанный в </w:t>
      </w:r>
      <w:hyperlink w:tooltip="#Par62" w:anchor="Par6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52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напра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вляет разъяснение положений объявления в срок, установленный указанным объявлением, но не позднее 1 рабочего дня до дня завершения подачи заявок путем формирования в системе «Электронный бюджет» соответствующего разъяснения. Представленное Министерством 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зъяснение положений объявления не должно изменять суть информации, содержащейся в указанном объявлении.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Доступ к разъяснению, формируемому в системе «Электронный бюджет» в соответствии с абзацем первым настоящей части, предоставляется всем участникам отбор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54. Не позднее 1 рабочего дня, следующего за днем окончания срока подачи заявок, установленного в объявлении, в системе «Электронный бюджет» открывается доступ Министерству к заявкам для их рассмотрения.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55. Протокол вскрытия заявок формируется на едином портале автоматически и подписывается усиленной квалифицированной электронной подписью Министра по внутренней политике и развитию Корякского округа Камчатского края (уполномоченного им лица) в системе «Эле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ктронный бюджет», а также размещается на едином портале не позднее 1 рабочего дня, следующего за днем его подписания.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1_1356"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56. Министерство в течение 15 рабочих дней со дня подписания протокола вскрытия заявок осуществляет проверку участника отбора на соответст</w:t>
      </w:r>
      <w:r>
        <w:rPr>
          <w:color w:val="000000" w:themeColor="text1"/>
          <w:sz w:val="28"/>
          <w:szCs w:val="28"/>
          <w:highlight w:val="white"/>
        </w:rPr>
        <w:t xml:space="preserve">вие требованиям, установленным частью 6 настоящего Порядка, а также устанавливает полноту и достоверность сведений, содержащихся в прилагаемых к заявке документах, автоматически в системе «Электронный бюджет» по данным государственных информационных систем</w:t>
      </w:r>
      <w:r>
        <w:rPr>
          <w:color w:val="000000" w:themeColor="text1"/>
          <w:sz w:val="28"/>
          <w:szCs w:val="28"/>
          <w:highlight w:val="white"/>
        </w:rPr>
        <w:t xml:space="preserve">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проверки), и путем направления запросов в адрес уполномоченных государственных органов, а также использования ин</w:t>
      </w:r>
      <w:r>
        <w:rPr>
          <w:color w:val="000000" w:themeColor="text1"/>
          <w:sz w:val="28"/>
          <w:szCs w:val="28"/>
          <w:highlight w:val="white"/>
        </w:rPr>
        <w:t xml:space="preserve">ых форм проверки, не противоречащих законодательству Российской Федерации.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Получатель субсидии вправе самостоятельно представить в Министерство выписку из Единого государственного реестра юридических лиц, из реестра дисквалифицированных лиц.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57. В случае если у Министерства отсутствует техническая возможность осуществления автоматической проверки на соответствие требованиям, установленным частью 6 настоящего Порядка, в системе «Электронный бюджет» соответствующие сведения запрашиваются Министе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рством в сроки, указанные в части 56 настоящего Порядка,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(или) путем использования общедо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ступной информации, размещенной на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официальных ресурсах государственных органов и других организаций, в том числе в электронной форме.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58. Министерство в целях подтверждения соответствия получателя субсидии (участника отбора) требованиям, установленным в 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асти 6 настоящего Порядка, не вправе требовать от получателя субсидии (участника отбора)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х межведомственного электронного взаимодействия, за исключением случая, если получатель субсидии (участник отбора) готов представить указанные документы и информацию Министерству по собственной инициативе.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59. Заявка признается надлежащей, если она соответ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ствует требованиям, указанным в объявлении, а также при отсутствии оснований для отклонения заявки.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Решение о соответствии заявки требованиям, указанным в объявлении, принимается Министерством на дату получения результатов проверки, представленных участник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ом отбора информации и документов, поданных в составе заявки.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60. Основаниями для отклонения заявок являются: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несоответствие участника отбора требованиям, категории и критерию отбора, указанным в </w:t>
      </w:r>
      <w:hyperlink r:id="rId37" w:tooltip="https://login.consultant.ru/link/?req=doc&amp;base=RLAW296&amp;n=212692&amp;dst=100023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частях 6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37 и 38 настоящего Порядка;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непредставление (представление не в полном объеме) документов, указанных в объявлении;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несоответст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вие представленных участником отбора заявки и (или) документов требованиям, установленным в объявлении;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недостоверность информации, содержащейся в документах, представленных участником отбора в составе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5) подача участником отбора заявки после 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ты и (или) времени, определенных для подачи заявок.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61. При необходимости получения информации и документов от участника отбора для разъяснений по представленным им документам и информации в целях полного, всестороннего и объективного рассмотрения и оценки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заявки. Министерством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62. В запросе, указанном в </w:t>
      </w:r>
      <w:hyperlink w:tooltip="#Par82" w:anchor="Par8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61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аправления соответствующего запроса.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63. Участник отбора формирует и представляет в системе «Электронный бюджет» информацию и документы, запрашиваемые в соответствии с частью 61 настоящего Порядка, в сроки, установленные соответствующим запросом.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64. В слу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чае если участник отбора в ответ на запрос, указанный в </w:t>
      </w:r>
      <w:hyperlink w:tooltip="#Par82" w:anchor="Par8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61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не представил запрашиваемые документы и информацию в срок, установленный соответствующим запросом, информация об этом включается в про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токол подведения итогов отбора, предусмотренный </w:t>
      </w:r>
      <w:hyperlink w:tooltip="#Par95" w:anchor="Par95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70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65. Министерство вправе отменить проведение отбора в случае возникновения обстоятельств, произошедших вследствие непреодолимой силы, то есть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чрезвычайных и непредотвратимых при данных условиях обстоятельств.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случае отмены проведения отбора Министерство размещает объявление об отмене проведения отбора на едином портале и официальном сайте Министерства не позднее чем за 1 рабочий день до даты 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кончания срока подачи заявок.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66.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инистра по внутренней политике и развитию Корякского округа Камчатского края (уполномоченного им лица), размещается на едином портале и содержит информацию о причинах отмены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67. Участники отбора, подавшие заявки, информируются об отмене проведения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отбора в системе «Электронный бюджет» путем размещения объявления о его отмене на едином портале не позднее чем за 1 рабочий день до даты окончания срока подачи заявок участниками отбора, которое содержит информацию о причинах отмены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68. Отбор приз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нается несостоявшимся в следующих случаях: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по окончании срока подачи заявок не подано ни одной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по результатам рассмотрения заявок отклонены все заявки.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69. Победителями отбора признаются участники отбора, соответствующие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категории, критерию отбора и требованиям, установленным настоящим Порядком, включенные в рейтинг, сформированный Министерством по результатам ранжирования поступивших заявок до достижения предельного количества победителей отбора, указанного в объявлении.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Ранжирование поступивших заявок определяется исходя из очередности поступления заявок.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70. В целях завершения отбора и определения победителей отбора формируется протокол подведения итогов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71. Протокол подведения итогов отбора формируется на едино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по внутренней политике и развитию Корякского округа Камчатского края (уполномоченного им лица) в систе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ме «Электронный бюджет», а также размещается на едином портале не позднее 1 рабочего дня, следующего за днем его подписания и включает следующие сведения: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дату, время и место проведения рассмотрения заявок;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информацию об участниках отбора, заявки кот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орых были рассмотрены;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наименование получателя (ей) субсидии, с которым (ми) заключае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тся соглашение и размер предоставляемой ему (им) субсидии.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72. В случае обнаружения технической ошибки (опечатки) в протокол подведения итогов отбора могут быть внесены изменения не позднее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10 календарных дней со дня подписания первой версии протокола подв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едения итогов отбора путем формирования новой версии указанного протокола с указанием причины внесения изменений.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spacing w:line="240" w:lineRule="auto"/>
        <w:rPr>
          <w:highlight w:val="white"/>
        </w:rPr>
      </w:pPr>
      <w:r>
        <w:rPr>
          <w:highlight w:val="whit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667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9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9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9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9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9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9"/>
    <w:link w:val="699"/>
    <w:uiPriority w:val="10"/>
    <w:rPr>
      <w:sz w:val="48"/>
      <w:szCs w:val="48"/>
    </w:rPr>
  </w:style>
  <w:style w:type="character" w:styleId="37">
    <w:name w:val="Subtitle Char"/>
    <w:basedOn w:val="659"/>
    <w:link w:val="695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9"/>
    <w:link w:val="667"/>
    <w:uiPriority w:val="99"/>
  </w:style>
  <w:style w:type="character" w:styleId="45">
    <w:name w:val="Footer Char"/>
    <w:basedOn w:val="659"/>
    <w:link w:val="697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9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9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link w:val="662"/>
    <w:qFormat/>
  </w:style>
  <w:style w:type="paragraph" w:styleId="654">
    <w:name w:val="Heading 1"/>
    <w:next w:val="653"/>
    <w:link w:val="67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5">
    <w:name w:val="Heading 2"/>
    <w:next w:val="653"/>
    <w:link w:val="70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6">
    <w:name w:val="Heading 3"/>
    <w:next w:val="653"/>
    <w:link w:val="67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7">
    <w:name w:val="Heading 4"/>
    <w:next w:val="653"/>
    <w:link w:val="70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58">
    <w:name w:val="Heading 5"/>
    <w:next w:val="653"/>
    <w:link w:val="67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character" w:styleId="662" w:customStyle="1">
    <w:name w:val="Обычный1"/>
  </w:style>
  <w:style w:type="paragraph" w:styleId="663">
    <w:name w:val="toc 2"/>
    <w:next w:val="653"/>
    <w:link w:val="664"/>
    <w:uiPriority w:val="39"/>
    <w:pPr>
      <w:ind w:left="200"/>
    </w:pPr>
    <w:rPr>
      <w:rFonts w:ascii="XO Thames" w:hAnsi="XO Thames"/>
      <w:sz w:val="28"/>
    </w:rPr>
  </w:style>
  <w:style w:type="character" w:styleId="664" w:customStyle="1">
    <w:name w:val="Оглавление 2 Знак"/>
    <w:link w:val="663"/>
    <w:rPr>
      <w:rFonts w:ascii="XO Thames" w:hAnsi="XO Thames"/>
      <w:sz w:val="28"/>
    </w:rPr>
  </w:style>
  <w:style w:type="paragraph" w:styleId="665">
    <w:name w:val="toc 4"/>
    <w:next w:val="653"/>
    <w:link w:val="666"/>
    <w:uiPriority w:val="39"/>
    <w:pPr>
      <w:ind w:left="600"/>
    </w:pPr>
    <w:rPr>
      <w:rFonts w:ascii="XO Thames" w:hAnsi="XO Thames"/>
      <w:sz w:val="28"/>
    </w:rPr>
  </w:style>
  <w:style w:type="character" w:styleId="666" w:customStyle="1">
    <w:name w:val="Оглавление 4 Знак"/>
    <w:link w:val="665"/>
    <w:rPr>
      <w:rFonts w:ascii="XO Thames" w:hAnsi="XO Thames"/>
      <w:sz w:val="28"/>
    </w:rPr>
  </w:style>
  <w:style w:type="paragraph" w:styleId="667">
    <w:name w:val="Header"/>
    <w:basedOn w:val="653"/>
    <w:link w:val="66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62"/>
    <w:link w:val="667"/>
    <w:uiPriority w:val="99"/>
  </w:style>
  <w:style w:type="paragraph" w:styleId="669">
    <w:name w:val="toc 6"/>
    <w:next w:val="653"/>
    <w:link w:val="670"/>
    <w:uiPriority w:val="39"/>
    <w:pPr>
      <w:ind w:left="1000"/>
    </w:pPr>
    <w:rPr>
      <w:rFonts w:ascii="XO Thames" w:hAnsi="XO Thames"/>
      <w:sz w:val="28"/>
    </w:rPr>
  </w:style>
  <w:style w:type="character" w:styleId="670" w:customStyle="1">
    <w:name w:val="Оглавление 6 Знак"/>
    <w:link w:val="669"/>
    <w:rPr>
      <w:rFonts w:ascii="XO Thames" w:hAnsi="XO Thames"/>
      <w:sz w:val="28"/>
    </w:rPr>
  </w:style>
  <w:style w:type="paragraph" w:styleId="671">
    <w:name w:val="toc 7"/>
    <w:next w:val="653"/>
    <w:link w:val="672"/>
    <w:uiPriority w:val="39"/>
    <w:pPr>
      <w:ind w:left="1200"/>
    </w:pPr>
    <w:rPr>
      <w:rFonts w:ascii="XO Thames" w:hAnsi="XO Thames"/>
      <w:sz w:val="28"/>
    </w:rPr>
  </w:style>
  <w:style w:type="character" w:styleId="672" w:customStyle="1">
    <w:name w:val="Оглавление 7 Знак"/>
    <w:link w:val="671"/>
    <w:rPr>
      <w:rFonts w:ascii="XO Thames" w:hAnsi="XO Thames"/>
      <w:sz w:val="28"/>
    </w:rPr>
  </w:style>
  <w:style w:type="character" w:styleId="673" w:customStyle="1">
    <w:name w:val="Заголовок 3 Знак"/>
    <w:link w:val="656"/>
    <w:rPr>
      <w:rFonts w:ascii="XO Thames" w:hAnsi="XO Thames"/>
      <w:b/>
      <w:sz w:val="26"/>
    </w:rPr>
  </w:style>
  <w:style w:type="paragraph" w:styleId="674">
    <w:name w:val="Plain Text"/>
    <w:basedOn w:val="653"/>
    <w:link w:val="675"/>
    <w:pPr>
      <w:spacing w:after="0" w:line="240" w:lineRule="auto"/>
    </w:pPr>
    <w:rPr>
      <w:rFonts w:ascii="Calibri" w:hAnsi="Calibri"/>
    </w:rPr>
  </w:style>
  <w:style w:type="character" w:styleId="675" w:customStyle="1">
    <w:name w:val="Текст Знак"/>
    <w:basedOn w:val="662"/>
    <w:link w:val="674"/>
    <w:rPr>
      <w:rFonts w:ascii="Calibri" w:hAnsi="Calibri"/>
    </w:rPr>
  </w:style>
  <w:style w:type="paragraph" w:styleId="676">
    <w:name w:val="toc 3"/>
    <w:next w:val="653"/>
    <w:link w:val="677"/>
    <w:uiPriority w:val="39"/>
    <w:pPr>
      <w:ind w:left="400"/>
    </w:pPr>
    <w:rPr>
      <w:rFonts w:ascii="XO Thames" w:hAnsi="XO Thames"/>
      <w:sz w:val="28"/>
    </w:rPr>
  </w:style>
  <w:style w:type="character" w:styleId="677" w:customStyle="1">
    <w:name w:val="Оглавление 3 Знак"/>
    <w:link w:val="676"/>
    <w:rPr>
      <w:rFonts w:ascii="XO Thames" w:hAnsi="XO Thames"/>
      <w:sz w:val="28"/>
    </w:rPr>
  </w:style>
  <w:style w:type="character" w:styleId="678" w:customStyle="1">
    <w:name w:val="Заголовок 5 Знак"/>
    <w:link w:val="658"/>
    <w:rPr>
      <w:rFonts w:ascii="XO Thames" w:hAnsi="XO Thames"/>
      <w:b/>
      <w:sz w:val="22"/>
    </w:rPr>
  </w:style>
  <w:style w:type="character" w:styleId="679" w:customStyle="1">
    <w:name w:val="Заголовок 1 Знак"/>
    <w:link w:val="654"/>
    <w:rPr>
      <w:rFonts w:ascii="XO Thames" w:hAnsi="XO Thames"/>
      <w:b/>
      <w:sz w:val="32"/>
    </w:rPr>
  </w:style>
  <w:style w:type="paragraph" w:styleId="680" w:customStyle="1">
    <w:name w:val="Гиперссылка1"/>
    <w:basedOn w:val="688"/>
    <w:link w:val="681"/>
    <w:rPr>
      <w:color w:val="0563c1" w:themeColor="hyperlink"/>
      <w:u w:val="single"/>
    </w:rPr>
  </w:style>
  <w:style w:type="character" w:styleId="681">
    <w:name w:val="Hyperlink"/>
    <w:basedOn w:val="659"/>
    <w:link w:val="680"/>
    <w:rPr>
      <w:color w:val="0563c1" w:themeColor="hyperlink"/>
      <w:u w:val="single"/>
    </w:rPr>
  </w:style>
  <w:style w:type="paragraph" w:styleId="682" w:customStyle="1">
    <w:name w:val="Footnote"/>
    <w:link w:val="683"/>
    <w:pPr>
      <w:ind w:firstLine="851"/>
      <w:jc w:val="both"/>
    </w:pPr>
    <w:rPr>
      <w:rFonts w:ascii="XO Thames" w:hAnsi="XO Thames"/>
    </w:rPr>
  </w:style>
  <w:style w:type="character" w:styleId="683" w:customStyle="1">
    <w:name w:val="Footnote"/>
    <w:link w:val="682"/>
    <w:rPr>
      <w:rFonts w:ascii="XO Thames" w:hAnsi="XO Thames"/>
      <w:sz w:val="22"/>
    </w:rPr>
  </w:style>
  <w:style w:type="paragraph" w:styleId="684">
    <w:name w:val="toc 1"/>
    <w:next w:val="653"/>
    <w:link w:val="685"/>
    <w:uiPriority w:val="39"/>
    <w:rPr>
      <w:rFonts w:ascii="XO Thames" w:hAnsi="XO Thames"/>
      <w:b/>
      <w:sz w:val="28"/>
    </w:rPr>
  </w:style>
  <w:style w:type="character" w:styleId="685" w:customStyle="1">
    <w:name w:val="Оглавление 1 Знак"/>
    <w:link w:val="684"/>
    <w:rPr>
      <w:rFonts w:ascii="XO Thames" w:hAnsi="XO Thames"/>
      <w:b/>
      <w:sz w:val="28"/>
    </w:rPr>
  </w:style>
  <w:style w:type="paragraph" w:styleId="686" w:customStyle="1">
    <w:name w:val="Header and Footer"/>
    <w:link w:val="687"/>
    <w:pPr>
      <w:jc w:val="both"/>
      <w:spacing w:line="240" w:lineRule="auto"/>
    </w:pPr>
    <w:rPr>
      <w:rFonts w:ascii="XO Thames" w:hAnsi="XO Thames"/>
      <w:sz w:val="20"/>
    </w:rPr>
  </w:style>
  <w:style w:type="character" w:styleId="687" w:customStyle="1">
    <w:name w:val="Header and Footer"/>
    <w:link w:val="686"/>
    <w:rPr>
      <w:rFonts w:ascii="XO Thames" w:hAnsi="XO Thames"/>
      <w:sz w:val="20"/>
    </w:rPr>
  </w:style>
  <w:style w:type="paragraph" w:styleId="688" w:customStyle="1">
    <w:name w:val="Основной шрифт абзаца1"/>
  </w:style>
  <w:style w:type="paragraph" w:styleId="689">
    <w:name w:val="toc 9"/>
    <w:next w:val="653"/>
    <w:link w:val="690"/>
    <w:uiPriority w:val="39"/>
    <w:pPr>
      <w:ind w:left="1600"/>
    </w:pPr>
    <w:rPr>
      <w:rFonts w:ascii="XO Thames" w:hAnsi="XO Thames"/>
      <w:sz w:val="28"/>
    </w:rPr>
  </w:style>
  <w:style w:type="character" w:styleId="690" w:customStyle="1">
    <w:name w:val="Оглавление 9 Знак"/>
    <w:link w:val="689"/>
    <w:rPr>
      <w:rFonts w:ascii="XO Thames" w:hAnsi="XO Thames"/>
      <w:sz w:val="28"/>
    </w:rPr>
  </w:style>
  <w:style w:type="paragraph" w:styleId="691">
    <w:name w:val="toc 8"/>
    <w:next w:val="653"/>
    <w:link w:val="692"/>
    <w:uiPriority w:val="39"/>
    <w:pPr>
      <w:ind w:left="1400"/>
    </w:pPr>
    <w:rPr>
      <w:rFonts w:ascii="XO Thames" w:hAnsi="XO Thames"/>
      <w:sz w:val="28"/>
    </w:rPr>
  </w:style>
  <w:style w:type="character" w:styleId="692" w:customStyle="1">
    <w:name w:val="Оглавление 8 Знак"/>
    <w:link w:val="691"/>
    <w:rPr>
      <w:rFonts w:ascii="XO Thames" w:hAnsi="XO Thames"/>
      <w:sz w:val="28"/>
    </w:rPr>
  </w:style>
  <w:style w:type="paragraph" w:styleId="693">
    <w:name w:val="toc 5"/>
    <w:next w:val="653"/>
    <w:link w:val="694"/>
    <w:uiPriority w:val="39"/>
    <w:pPr>
      <w:ind w:left="800"/>
    </w:pPr>
    <w:rPr>
      <w:rFonts w:ascii="XO Thames" w:hAnsi="XO Thames"/>
      <w:sz w:val="28"/>
    </w:rPr>
  </w:style>
  <w:style w:type="character" w:styleId="694" w:customStyle="1">
    <w:name w:val="Оглавление 5 Знак"/>
    <w:link w:val="693"/>
    <w:rPr>
      <w:rFonts w:ascii="XO Thames" w:hAnsi="XO Thames"/>
      <w:sz w:val="28"/>
    </w:rPr>
  </w:style>
  <w:style w:type="paragraph" w:styleId="695">
    <w:name w:val="Subtitle"/>
    <w:next w:val="653"/>
    <w:link w:val="69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96" w:customStyle="1">
    <w:name w:val="Подзаголовок Знак"/>
    <w:link w:val="695"/>
    <w:rPr>
      <w:rFonts w:ascii="XO Thames" w:hAnsi="XO Thames"/>
      <w:i/>
      <w:sz w:val="24"/>
    </w:rPr>
  </w:style>
  <w:style w:type="paragraph" w:styleId="697">
    <w:name w:val="Footer"/>
    <w:basedOn w:val="653"/>
    <w:link w:val="69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698" w:customStyle="1">
    <w:name w:val="Нижний колонтитул Знак"/>
    <w:basedOn w:val="662"/>
    <w:link w:val="697"/>
    <w:rPr>
      <w:rFonts w:ascii="Times New Roman" w:hAnsi="Times New Roman"/>
      <w:sz w:val="28"/>
    </w:rPr>
  </w:style>
  <w:style w:type="paragraph" w:styleId="699">
    <w:name w:val="Title"/>
    <w:next w:val="653"/>
    <w:link w:val="70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00" w:customStyle="1">
    <w:name w:val="Название Знак"/>
    <w:link w:val="699"/>
    <w:rPr>
      <w:rFonts w:ascii="XO Thames" w:hAnsi="XO Thames"/>
      <w:b/>
      <w:caps/>
      <w:sz w:val="40"/>
    </w:rPr>
  </w:style>
  <w:style w:type="paragraph" w:styleId="701">
    <w:name w:val="Balloon Text"/>
    <w:basedOn w:val="653"/>
    <w:link w:val="702"/>
    <w:pPr>
      <w:spacing w:after="0" w:line="240" w:lineRule="auto"/>
    </w:pPr>
    <w:rPr>
      <w:rFonts w:ascii="Segoe UI" w:hAnsi="Segoe UI"/>
      <w:sz w:val="18"/>
    </w:rPr>
  </w:style>
  <w:style w:type="character" w:styleId="702" w:customStyle="1">
    <w:name w:val="Текст выноски Знак"/>
    <w:basedOn w:val="662"/>
    <w:link w:val="701"/>
    <w:rPr>
      <w:rFonts w:ascii="Segoe UI" w:hAnsi="Segoe UI"/>
      <w:sz w:val="18"/>
    </w:rPr>
  </w:style>
  <w:style w:type="character" w:styleId="703" w:customStyle="1">
    <w:name w:val="Заголовок 4 Знак"/>
    <w:link w:val="657"/>
    <w:rPr>
      <w:rFonts w:ascii="XO Thames" w:hAnsi="XO Thames"/>
      <w:b/>
      <w:sz w:val="24"/>
    </w:rPr>
  </w:style>
  <w:style w:type="character" w:styleId="704" w:customStyle="1">
    <w:name w:val="Заголовок 2 Знак"/>
    <w:link w:val="655"/>
    <w:rPr>
      <w:rFonts w:ascii="XO Thames" w:hAnsi="XO Thames"/>
      <w:b/>
      <w:sz w:val="28"/>
    </w:rPr>
  </w:style>
  <w:style w:type="table" w:styleId="705">
    <w:name w:val="Table Grid"/>
    <w:basedOn w:val="66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6" w:customStyle="1">
    <w:name w:val="Сетка таблицы1"/>
    <w:basedOn w:val="66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Сетка таблицы2"/>
    <w:basedOn w:val="66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_634" w:customStyle="1">
    <w:name w:val="docdata"/>
    <w:basedOn w:val="68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356" w:customStyle="1">
    <w:name w:val="Normal (Web)"/>
    <w:basedOn w:val="68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466790&amp;dst=103575" TargetMode="External"/><Relationship Id="rId13" Type="http://schemas.openxmlformats.org/officeDocument/2006/relationships/hyperlink" Target="https://login.consultant.ru/link/?req=doc&amp;base=LAW&amp;n=466790&amp;dst=7617" TargetMode="External"/><Relationship Id="rId14" Type="http://schemas.openxmlformats.org/officeDocument/2006/relationships/hyperlink" Target="https://login.consultant.ru/link/?req=doc&amp;base=LAW&amp;n=490805" TargetMode="External"/><Relationship Id="rId15" Type="http://schemas.openxmlformats.org/officeDocument/2006/relationships/hyperlink" Target="https://login.consultant.ru/link/?req=doc&amp;base=RLAW296&amp;n=211106&amp;dst=100010" TargetMode="External"/><Relationship Id="rId16" Type="http://schemas.openxmlformats.org/officeDocument/2006/relationships/hyperlink" Target="https://login.consultant.ru/link/?req=doc&amp;base=RLAW296&amp;n=211388&amp;dst=100011" TargetMode="External"/><Relationship Id="rId17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LAW&amp;n=493204" TargetMode="External"/><Relationship Id="rId19" Type="http://schemas.openxmlformats.org/officeDocument/2006/relationships/hyperlink" Target="https://login.consultant.ru/link/?req=doc&amp;base=LAW&amp;n=466838&amp;dst=5769" TargetMode="External"/><Relationship Id="rId20" Type="http://schemas.openxmlformats.org/officeDocument/2006/relationships/hyperlink" Target="https://login.consultant.ru/link/?req=doc&amp;base=RLAW296&amp;n=211106&amp;dst=100022" TargetMode="External"/><Relationship Id="rId21" Type="http://schemas.openxmlformats.org/officeDocument/2006/relationships/hyperlink" Target="https://login.consultant.ru/link/?req=doc&amp;base=RLAW296&amp;n=211106&amp;dst=100151" TargetMode="External"/><Relationship Id="rId22" Type="http://schemas.openxmlformats.org/officeDocument/2006/relationships/hyperlink" Target="https://login.consultant.ru/link/?req=doc&amp;base=RLAW296&amp;n=212692&amp;dst=100131" TargetMode="External"/><Relationship Id="rId23" Type="http://schemas.openxmlformats.org/officeDocument/2006/relationships/hyperlink" Target="https://login.consultant.ru/link/?req=doc&amp;base=RLAW296&amp;n=212692&amp;dst=100051" TargetMode="External"/><Relationship Id="rId24" Type="http://schemas.openxmlformats.org/officeDocument/2006/relationships/hyperlink" Target="https://login.consultant.ru/link/?req=doc&amp;base=RLAW296&amp;n=212692&amp;dst=100049" TargetMode="External"/><Relationship Id="rId25" Type="http://schemas.openxmlformats.org/officeDocument/2006/relationships/hyperlink" Target="https://login.consultant.ru/link/?req=doc&amp;base=LAW&amp;n=466790&amp;dst=3704" TargetMode="External"/><Relationship Id="rId26" Type="http://schemas.openxmlformats.org/officeDocument/2006/relationships/hyperlink" Target="https://login.consultant.ru/link/?req=doc&amp;base=LAW&amp;n=466790&amp;dst=3722" TargetMode="External"/><Relationship Id="rId27" Type="http://schemas.openxmlformats.org/officeDocument/2006/relationships/hyperlink" Target="https://login.consultant.ru/link/?req=doc&amp;base=RLAW296&amp;n=211106&amp;dst=100012" TargetMode="External"/><Relationship Id="rId28" Type="http://schemas.openxmlformats.org/officeDocument/2006/relationships/hyperlink" Target="https://login.consultant.ru/link/?req=doc&amp;base=RLAW296&amp;n=211106&amp;dst=100068" TargetMode="External"/><Relationship Id="rId29" Type="http://schemas.openxmlformats.org/officeDocument/2006/relationships/hyperlink" Target="https://login.consultant.ru/link/?req=doc&amp;base=RLAW296&amp;n=212692&amp;dst=100161" TargetMode="External"/><Relationship Id="rId30" Type="http://schemas.openxmlformats.org/officeDocument/2006/relationships/hyperlink" Target="https://login.consultant.ru/link/?req=doc&amp;base=RLAW296&amp;n=212692&amp;dst=100023" TargetMode="External"/><Relationship Id="rId31" Type="http://schemas.openxmlformats.org/officeDocument/2006/relationships/hyperlink" Target="https://login.consultant.ru/link/?req=doc&amp;base=LAW&amp;n=452386" TargetMode="External"/><Relationship Id="rId32" Type="http://schemas.openxmlformats.org/officeDocument/2006/relationships/hyperlink" Target="https://login.consultant.ru/link/?req=doc&amp;base=LAW&amp;n=466790&amp;dst=3704" TargetMode="External"/><Relationship Id="rId33" Type="http://schemas.openxmlformats.org/officeDocument/2006/relationships/hyperlink" Target="https://login.consultant.ru/link/?req=doc&amp;base=LAW&amp;n=466790&amp;dst=3722" TargetMode="External"/><Relationship Id="rId34" Type="http://schemas.openxmlformats.org/officeDocument/2006/relationships/hyperlink" Target="https://minter.kamgov.ru" TargetMode="External"/><Relationship Id="rId35" Type="http://schemas.openxmlformats.org/officeDocument/2006/relationships/hyperlink" Target="https://login.consultant.ru/link/?req=doc&amp;base=RLAW296&amp;n=212692&amp;dst=100023" TargetMode="External"/><Relationship Id="rId36" Type="http://schemas.openxmlformats.org/officeDocument/2006/relationships/hyperlink" Target="https://login.consultant.ru/link/?req=doc&amp;base=RLAW296&amp;n=212692&amp;dst=100035" TargetMode="External"/><Relationship Id="rId37" Type="http://schemas.openxmlformats.org/officeDocument/2006/relationships/hyperlink" Target="https://login.consultant.ru/link/?req=doc&amp;base=RLAW296&amp;n=212692&amp;dst=100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antonovaaa</cp:lastModifiedBy>
  <cp:revision>14</cp:revision>
  <dcterms:created xsi:type="dcterms:W3CDTF">2025-01-31T01:52:00Z</dcterms:created>
  <dcterms:modified xsi:type="dcterms:W3CDTF">2026-06-23T04:11:41Z</dcterms:modified>
</cp:coreProperties>
</file>