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ЦИФРОВОГО РАЗВИТИЯ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159" w:line="6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Об информационной системе «Портал учета и хранения данных»</w:t>
            </w:r>
            <w:r>
              <w:rPr>
                <w:sz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Согласно части 25.5 Положения о Министерстве цифрового развития Камчатского края, утвержденного постановлением Правительства Камчатского края от 09.06.2023 № 320-П,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Создать информационную систему «Портал учета и хранения данных» (далее – Система).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Утвердить Положение об информационной системе «Портал учета и хранения данных» согласно приложению к настоящему приказу.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Определить государственным заказчиком и оператором Системы Министерство цифрового развития Камчатского края.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Определить администратором Системы краевое государственное автономное учреждение «Информационно-технологический центр Камчатского края».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Настоящий приказ вступает в силу после дня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И.о.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В.В. Ефимова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цифрового развития 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4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r/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Положение </w:t>
        <w:br/>
        <w:t xml:space="preserve"> об информационной системе «Портал учета и хранения данных»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Общие положения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Настоящее Положение определяет цели, задачи, функции информационной системы «Портал учета и хранения данных» </w:t>
        <w:br/>
        <w:t xml:space="preserve"> (далее – Система), участников Системы и их функции, структуру Системы, сведения, содержащиеся в Системе, правовой режим информации, содержащей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ся в Системе, доступ к Системе, а также порядок взаимодействия с единым федеральным информационным регистром, содержащим сведения о населении Российской Федерации, и региональной витриной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Для целей настоящего Положения используются следующие понятия: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оператор Системы – Министерство цифрового развития Камчатского края;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администратор Системы – краевое государственное автономное учреждение «Информационно-технологический центр Камчатского края»;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пользователь – исполнительный орган Камчатского края или орган местного самоуправления, получивший доступ к Системе на основании соглашения, заключенного с оператором Системы;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ЕРН – единый федеральный информационный регистр, содержащий сведения о населении Российской Федерации, предусмотренный Федеральным законом от 08.06.2020 № 168-ФЗ «О едином федеральном информационном регистре, содержащем сведения о населении Российской 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едерации»;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Правила – 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СМЭВ – единая система межведомственного электронного взаимодействия, положение о которой утверждено постановлением Правительства Российской Федерации от 08.09.2010 № 697 «О единой системе межведомственного электронного взаимодействия»;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региональная витрина данных – компонент Системы, создаваемый с использованием типового тиражируемого программного обеспечения витрин данных и предназначенный для формирования, обработки, хранения, актуализации и предоставления наборов данных, а также 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ганизации информационного обмена с информационными системами исполнительных органов Камчатского края;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набор данных – совокупность сведений, объединенных по определенным признакам и предназначенных для использования в установленных паспортом набора данных целях;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паспорт набора данных – документ, содержащий сведения об источнике данных, составе набора данных, целях его использования, периодичности актуализации, способах передачи, круге получателей и условиях доступа;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ФГИС «ЕИП НСУД» – федеральная государственная информационная система «Единая информационная платформа национальной системы управления данными», положение о которой утверждено постановлением Правительства Российской Федерации от 14.05.2021 № 733;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 модель государственных данных – модель государственных данных, размещенная в ФГИС «ЕИП НСУД» и применяемая при формировании, размещении и актуализации наборов данных региональной витрины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Цели и задачи Системы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Целями Системы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повышение эффективности деятельности исполнительных органов Камчатского края, органов местного самоуправления и качества принимаемых управленческих решений на основе актуальных, достоверных и сопоставимых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совершенствование предоставления государственных и муниципальных услуг и выполнения государственных и муниципальных функций, в том числе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обеспечение актуальности и достоверности информационных ресурсов пользователей, содержащих сведения о населении Российской Федерации, путем использования сведений, содержащихся в ЕРН;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создание посредством региональной витрины данных единого информационного пространства для сбора, обработки, хранения, предоставления, мониторинга и анализа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Основными задачами Системы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обеспечение получения сведений, содержащихся в ЕРН, посредством СМЭВ;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хранения и предоставления пользователям сведений, содержащихся в ЕРН, в объеме, необходимом для реализации их полномочий;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актуализации информационных ресурсов пользователей на основании сведений, содержащихся в ЕРН;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качества наборов данных, передаваемых в витрину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обеспечение информационного взаимодействия региональной витрины данных с информационными системами пользователей;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формирование и ведение перечня наборов данных, размещаемых в региональной витрине данных, а также паспортов таких наборов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обеспечение контроля качества наборов данных, передаваемых в региональную витрину данных, включая их полноту, достоверность, актуальность, непротиворечивость и связанность, а также выявление ошибок в таких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обеспечение мониторинга и анализа данных, представляемых информационными системами пользователей, в том числе формирования аналитических отчетов и отслеживания статусов заявлений о предоставлении государственных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Функции Системы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 Основными функциями Системы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отслеживание статусов заявлений о предоставлении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формирование, хранение и предоставление аналитических и статистических отчетов;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сбор данных из информационных систем пользователей, их извлечение, преобразование, приведение к единому формату и загрузка в хранилище;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информационного обмена между информационными системами пользователей посредством механизмов интеграционного взаимодействия;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получение сведений, содержащихся в ЕРН, посредством СМЭВ;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прием и обработка сведений, содержащихся в ЕРН, предоставляемых в режиме рассылки, в том числе с использованием директивных видов сведений по территориальному признаку;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направление запросов и получение сведений, содержащихся в ЕРН, в режиме «запрос–ответ»;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автоматизированная актуализация сведений, содержащихся в ЕРН;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хранение сведений, содержащихся в ЕРН, в объеме, необходимом для реализации полномочий пользователей;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предоставление пользователям сведений, содержащихся в ЕРН, в пределах их полномочий;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 формирование, ведение и актуализация перечня наборов данных региональной витрины данных и метаданных таких наборов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 прием, преобразование, структурирование, первоначальная загрузка и последующая автоматизированная актуализация наборов данных региональной витрины данных с учетом модели государственных данных и в соответствии с периодичностью, установленной паспортами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наборов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13) предоставление наборов данных региональной витрины данных пользователям посредством СМЭВ с использованием зарегистрированных запросов к региональной витрине данных, а также иными способами, предусмотренными законодательством Российской Федерации;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14) контроль полноты, достоверности, актуальности, непротиворечивости и связанности наборов данных региональной витрины данных, выявление ошибок и инцидентов качества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 разграничение прав доступа пользователей Системы к сведениям и наборам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 ведение учета и журналирование операций со сведениями, содержащимися в ЕРН, а также операций по загрузке, обновлению и предоставлению наборов данных в региональную витрину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Участники Системы и функции участников Системы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 Участниками Системы являются: оператор Системы, администратор Системы и пользователи.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Функциями оператора Системы являются: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издание правовых актов о вводе в эксплуатацию, развитии и выводе из эксплуатации Системы;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заключение с пользователями соглашений о предоставлении доступа к Системе;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определение направлений развития Системы;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определение пользователей Системы;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контроль функционирования Системы.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Функциями администратора Системы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осуществление мероприятий по обслуживанию, сопровождению, модернизации и развитию Системы, в том числе с помощью привлечения третьих лиц;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бесперебойного функционирования Системы, контроля и мониторинга показателей функционирования Системы;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целостности, сохранности и резервного копирования данных Системы, а также восстановления работоспособности Системы;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технического взаимодействия Системы с ЕРН, контроль размещения полученных данных в Системе;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рассмотрение заявок на получение доступа к Системе;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предоставление пользователям доступа к Системe на основании соглашений, заключенных между пользователями и оператором Системы;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обеспечение разграничения прав доступа участников Системы и журналирование их действий;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 осуществление технической поддержки пользователей и консультирование по вопросам функционирования Системы;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обеспечение защиты информации, содержащейся в Системе, в соответствии с требованиями нормативных правовых актов Российской Федерации;</w:t>
      </w:r>
      <w:r/>
    </w:p>
    <w:p>
      <w:pPr>
        <w:ind w:left="0" w:right="0" w:firstLine="709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организация и осуществление обработки персональных данных, а также определение цели обработки персональных данных, состава персональных данных, подлежащих обработке в Системе, действий (операций), совершаемых с персональными данными.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Функциями пользователя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использование информации, размещенной в Системе, исключительно в пределах своих полномочий и для целей, предусмотренных нормативными правовыми актами Российской Федерации и Камчатского края;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обеспечение правомерности предоставления данных, а также полноты, достоверности, актуальности при их передаче в региональную витрину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обеспечение первоначальной загрузки и последующей актуализации передаваемых наборов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обеспечение технической готовности информационной системы пользователя к информационному взаимодействию с региональной витриной данных.</w:t>
      </w:r>
      <w:r/>
    </w:p>
    <w:p>
      <w:pPr>
        <w:ind w:left="0" w:right="0" w:firstLine="0"/>
        <w:jc w:val="center"/>
        <w:spacing w:before="119" w:after="6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Структура Системы</w:t>
      </w:r>
      <w:r/>
    </w:p>
    <w:p>
      <w:pPr>
        <w:ind w:left="0" w:right="0" w:firstLine="794"/>
        <w:keepLines/>
        <w:spacing w:before="119" w:after="62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94"/>
        <w:keepLines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В состав Системы входят: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хранилище данных, предназначенное для хранения сведений, поступающих в Систему, в том числе сведений, поступающих из ЕРН, а также наборов данных региональной витрины данных;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интеграционный компонент, предназначенный для обеспечения информационного взаимодействия Системы с информационными системами пользователей и иными информационными системами;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компонент взаимодействия с ЕРН;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региональная витрина данных;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информационно-аналитический компонент, предназначенный для мониторинга и анализа данных, формирования аналитических и статистических отчетов, а также отслеживания статусов заявлений о предоставлении государственных услуг;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компонент администрирования, предназначенный для управления настройками Системы, разграничения прав доступа пользователей Системы, ведения учета и журналирования операций.</w:t>
      </w:r>
      <w:r/>
    </w:p>
    <w:p>
      <w:pPr>
        <w:ind w:left="0" w:right="0" w:firstLine="794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 Система осуществляет информационное взаимодействие: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с ЕРН – посредством СМЭВ;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с информационными системами пользователей – посредством механизмов интеграционного взаимодействия на основании заключенных с оператором Системы соглашений;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с ФГИС «ЕИП НСУД» – в части использования модели государственных данных и регистрации информационных ресурсов и моделей государственных данных;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с иными информационными системами – при наличии правовых оснований и в порядке, установленном законодательством Российской Федерации.</w:t>
      </w:r>
      <w:r/>
    </w:p>
    <w:p>
      <w:pPr>
        <w:ind w:left="0" w:right="0" w:firstLine="794"/>
        <w:jc w:val="both"/>
        <w:keepLines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Детализированный состав компонентов Системы, их архитектура и технические характеристики определяются технической и эксплуатационной документацией Системы.</w:t>
      </w:r>
      <w:r/>
    </w:p>
    <w:p>
      <w:pPr>
        <w:ind w:left="0" w:right="0" w:firstLine="0"/>
        <w:jc w:val="center"/>
        <w:spacing w:before="119" w:after="62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119" w:after="62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Сведения, содержащиеся в Системе, правовой режим информации, содержащейся в Системе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119" w:after="6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 Наполнение и актуализация сведений в Системе осуществляются посредством данных, поступающих из информационных систем пользователей и иных информационных систем.</w:t>
      </w:r>
      <w:r/>
    </w:p>
    <w:p>
      <w:pPr>
        <w:ind w:left="709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 В Системе содержится следующая информация:</w:t>
      </w:r>
      <w:r/>
    </w:p>
    <w:p>
      <w:pPr>
        <w:ind w:left="70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данные о региональных и федеральных поручениях из информационной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системы «Единая система электронного документооборота»;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сведения, содержащиеся в ЕРН, предоставляемые в соответствии с Федеральным законом от 08.06.2020 № 168-ФЗ и Правилами;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 запросах, ответах, предоставлении сведений, содержащихся в ЕРН, и действиях пользователей при работе с такими сведениями;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наборы данных, размещаемые в региональной витрине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метаданные наборов данных региональной витрины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об операциях по загрузке, обновлению и предоставлению наборов данных региональной витрины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 Ответственность за полноту, актуальность и достоверность сведений, направляемых в Систему из информационных систем пользователей, несут пользователи.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 Правомочия обладателя информации, содержащейся в Системе, осуществляет оператор Системы.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 Система предназначена в том числе для обработки персональных данных. Использование персональных данных, содержащихся в ЕРН, осуществляется исключительно в целях предоставления конкретных государственных услуг, исполнения конкретных государственных функ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ций, обеспечения актуальности и достоверности информационных ресурсов участников Системы путем приведения содержащихся в них сведений в соответствие со сведениями ЕРН, а также в иных целях, прямо предусмотренных законодательством Российской Федерации, при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наличии нормативных правовых оснований, определяющих состав таких сведений и цели их использования.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18. Обработка персональных данных в Системе осуществляются в соответствии с требованиями законодательства Российской Федерации о персональных данных, информации, информационных технологиях и защите информации.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 В случаях, предусмотренных законодательством Российской Федерации, сведения ЕРН предоставляются и используются в обезличенном виде.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20. Сведения, составляющие государственную тайну, не подлежат размещению, передаче, обработке и хранению в Системе.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before="119" w:after="6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Доступ к Системе</w:t>
      </w:r>
      <w:r/>
    </w:p>
    <w:p>
      <w:pPr>
        <w:ind w:left="0" w:right="0" w:firstLine="0"/>
        <w:jc w:val="center"/>
        <w:spacing w:before="119" w:after="6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 Для доступа к Системе пользователи заключают Соглашение с оператором Системы, которое должно содержать: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состав предоставляемого доступа: к сведениям ЕРН, к региональной витрине данных либо одновременно к сведениям ЕРН и региональной витрине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подключении к сведениям ЕРН – перечень сведений ЕРН, к которым предоставляется доступ, цели их использования и режим получения сведений;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при подключении к региональной витрине данных – перечень наборов данных, к которым предоставляется доступ, направление информационного обмена и реквизиты паспортов наборов данных;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порядок информационного взаимодействия;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условия приостановления и прекращения доступа;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обязанности пользователя по обеспечению защиты информации.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22. Порядок подключения пользователей к Системе, состав документов, необходимых для подключения к Системе устанавливаются администратором Системы в организационно-распорядительной документации по защите</w:t>
        <w:br/>
        <w:t xml:space="preserve">информации, содержащейся в Системе.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before="119" w:after="6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Порядок взаимодействия Системы с региональной витриной данных</w:t>
      </w:r>
      <w:r/>
    </w:p>
    <w:p>
      <w:pPr>
        <w:ind w:left="0" w:right="0" w:firstLine="0"/>
        <w:jc w:val="left"/>
        <w:spacing w:before="119" w:after="62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8"/>
        <w:jc w:val="both"/>
        <w:spacing w:before="119" w:after="62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23. Источниками данных региональной витрины данных являются информационные системы пользователей, а также иные информационные системы, взаимодействие с которыми осуществляется в соответствии с законодательством Российской Федерации и Камчатского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24. Состав наборов данных, источники данных, периодичность их обновления, способы передачи, круг получателей и условия доступа определяются паспортами наборов данных, утверждаемыми администратором Системы.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25. Передача данных в региональную витрину данных, включая первоначальную загрузку и последующую актуализацию наборов данных, осуществляются в автоматизированном режиме с периодичностью, установленной паспортами наборов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26. Пользователь, информационная система которого является источником данных для региональной витрины данных, обеспечивает соответствие передаваемых данных требованиям законодательства Российской Федерации и Камчатского края, а также их полноту, достоверно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сть, актуальность, непротиворечивость и связанность.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27. Доступ к наборам данных региональной витрины данных предоставляется пользователям в пределах их полномочий и в объеме, необходимом для реализации соответствующих полномочий.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28. Формирование, размещение и актуализация наборов данных региональной витрины данных осуществляются с учетом модели государственных данных, размещенной в ФГИС «ЕИП НСУД».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29. Информационные ресурсы и модели государственных данных, используемые при функционировании региональной витрины данных, подлежат регистрации в установленном порядке.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30. Предоставление данных региональной витрины данных осуществляется посредством СМЭВ с использованием зарегистрированных запросов к региональной витрине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31. Региональная витрина данных обеспечивает доступность наборов данных в режиме, необходимом для реализации соответствующих полномочий пользователей.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32. Администратор Системы организует контроль качества наборов данных региональной витрины данных, в том числе реагирование на инциденты качества данных.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33. Для обеспечения функционирования региональной витрины данных могут использоваться облачные услуги, предоставляемые посредством государственной единой облачной платформы, в случаях и порядке, предусмотренных законодательством Российской Федерации.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Порядок получения и использования сведений, содержащихся в ЕРН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34. Сведения, содержащиеся в ЕРН, предоставляются посредством Системы: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 режиме «запрос–ответ» в отношении конкретного физического лица;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 режиме рассылки, в том числе с использованием директивных видов сведений по территориальному признаку.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35. Формирование записей о населении и внесение в них изменений осуществляется в автоматизированном режиме. Ручной ввод или изменение сведений, полученных из ЕРН, не допускается.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36. Первоначальная загрузка и последующее обновление сведений ЕРН осуществляются автоматически посредством СМЭВ в порядке, предусмотренном Правилами.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37. Состав сведений, предоставляемых из ЕРН в режиме «запрос–ответ», определяется приложением № 1 к Правилам.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38. Состав сведений, предоставляемых из ЕРН в режиме рассылки, в том числе с использованием директивных видов сведений, определяется приложением № 2 к Правилам.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39. Сведения о родственных и (или) семейных связях физических лиц предоставляются в случаях и объеме, предусмотренных приложением № 4 к Правилам.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40. Прямой (непосредственный) доступ физических и юридических лиц к сведениям, полученным из ЕРН и содержащимся в Системе, исключается.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41. Конкретный состав сведений ЕРН, предоставляемых пользователю, определяется нормативными правовыми основаниями пользователя, целями использования сведений, режимом их получения и соглашением, заключенным с оператором Системы, и не может превышать объем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сведений, необходимый для реализации полномочий пользователя.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9">
    <w:name w:val="Heading 2 Char"/>
    <w:basedOn w:val="851"/>
    <w:link w:val="678"/>
    <w:uiPriority w:val="9"/>
    <w:rPr>
      <w:rFonts w:ascii="Liberation Sans" w:hAnsi="Liberation Sans" w:eastAsia="Liberation Sans" w:cs="Liberation Sans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61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1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Plain Text"/>
    <w:basedOn w:val="850"/>
    <w:link w:val="85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6" w:customStyle="1">
    <w:name w:val="Текст Знак"/>
    <w:basedOn w:val="851"/>
    <w:link w:val="855"/>
    <w:uiPriority w:val="99"/>
    <w:semiHidden/>
    <w:rPr>
      <w:rFonts w:ascii="Calibri" w:hAnsi="Calibri" w:eastAsia="Calibri" w:cs="Times New Roman"/>
      <w:szCs w:val="21"/>
    </w:rPr>
  </w:style>
  <w:style w:type="paragraph" w:styleId="857">
    <w:name w:val="Footer"/>
    <w:basedOn w:val="850"/>
    <w:link w:val="85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8" w:customStyle="1">
    <w:name w:val="Нижний колонтитул Знак"/>
    <w:basedOn w:val="851"/>
    <w:link w:val="85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eader"/>
    <w:basedOn w:val="850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1"/>
    <w:link w:val="861"/>
    <w:uiPriority w:val="99"/>
  </w:style>
  <w:style w:type="character" w:styleId="863">
    <w:name w:val="Hyperlink"/>
    <w:basedOn w:val="851"/>
    <w:uiPriority w:val="99"/>
    <w:unhideWhenUsed/>
    <w:rPr>
      <w:color w:val="0563c1" w:themeColor="hyperlink"/>
      <w:u w:val="single"/>
    </w:rPr>
  </w:style>
  <w:style w:type="table" w:styleId="864" w:customStyle="1">
    <w:name w:val="Сетка таблицы1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2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dudkoei</cp:lastModifiedBy>
  <cp:revision>9</cp:revision>
  <dcterms:created xsi:type="dcterms:W3CDTF">2023-07-23T23:09:00Z</dcterms:created>
  <dcterms:modified xsi:type="dcterms:W3CDTF">2026-06-16T04:58:51Z</dcterms:modified>
</cp:coreProperties>
</file>