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  <w:t xml:space="preserve">О внесении изменений в</w:t>
      </w:r>
      <w:r>
        <w:rPr>
          <w:rFonts w:ascii="Times New Roman" w:hAnsi="Times New Roman"/>
          <w:b/>
          <w:sz w:val="28"/>
          <w:highlight w:val="none"/>
        </w:rPr>
        <w:t xml:space="preserve"> </w:t>
      </w:r>
      <w:r>
        <w:rPr>
          <w:rFonts w:ascii="Times New Roman" w:hAnsi="Times New Roman"/>
          <w:b/>
          <w:sz w:val="28"/>
          <w:highlight w:val="none"/>
        </w:rPr>
        <w:t xml:space="preserve">приложение к постановлению Правительства Камчатского края </w:t>
      </w:r>
      <w:r>
        <w:rPr>
          <w:rFonts w:ascii="Times New Roman" w:hAnsi="Times New Roman"/>
          <w:b/>
          <w:sz w:val="28"/>
          <w:highlight w:val="none"/>
        </w:rPr>
        <w:t xml:space="preserve">от 17.04.2023 № 220-П «Об утверждении</w:t>
      </w:r>
      <w:r>
        <w:rPr>
          <w:rFonts w:ascii="Times New Roman" w:hAnsi="Times New Roman"/>
          <w:b/>
          <w:sz w:val="28"/>
          <w:highlight w:val="none"/>
        </w:rPr>
        <w:t xml:space="preserve"> </w:t>
      </w:r>
      <w:r>
        <w:rPr>
          <w:rFonts w:ascii="Times New Roman" w:hAnsi="Times New Roman"/>
          <w:b/>
          <w:sz w:val="28"/>
          <w:highlight w:val="none"/>
        </w:rPr>
        <w:t xml:space="preserve">Порядка предоставления с</w:t>
      </w:r>
      <w:r>
        <w:rPr>
          <w:rFonts w:ascii="Times New Roman" w:hAnsi="Times New Roman"/>
          <w:b/>
          <w:sz w:val="28"/>
          <w:highlight w:val="none"/>
        </w:rPr>
        <w:t xml:space="preserve">убсидии из краевого бюджета юридическим лицам, осуществляющим функции реги</w:t>
      </w:r>
      <w:r>
        <w:rPr>
          <w:rFonts w:ascii="Times New Roman" w:hAnsi="Times New Roman"/>
          <w:b/>
          <w:sz w:val="28"/>
        </w:rPr>
        <w:t xml:space="preserve">онального оператора по обращению </w:t>
        <w:br/>
        <w:t xml:space="preserve">с твердыми коммунальными отходами, в целях финансового обеспечения затрат, связанных с оказанием услуг </w:t>
      </w:r>
      <w:r>
        <w:rPr>
          <w:rFonts w:ascii="Times New Roman" w:hAnsi="Times New Roman"/>
          <w:b/>
          <w:sz w:val="28"/>
        </w:rPr>
        <w:t xml:space="preserve">по обращению с твердыми коммунальными отходам</w:t>
      </w:r>
      <w:r>
        <w:rPr>
          <w:rFonts w:ascii="Times New Roman" w:hAnsi="Times New Roman"/>
          <w:b/>
          <w:sz w:val="28"/>
        </w:rPr>
        <w:t xml:space="preserve">и, и проведения отбора получателей субсидии»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1. Внести 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в 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приложение к постановлению Правительства Камчатского края 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от 17.04.2023 № 220-П «Об утверждении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орядка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 предоставления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 субсидии из краевого бюджета юридическим лицам, осуществляющим ф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ункции регионального оператора по обращению с твердыми коммунальными отходами, в целях финансового обеспече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ния затрат, связанных с оказан</w:t>
      </w:r>
      <w:r>
        <w:rPr>
          <w:rFonts w:ascii="Times New Roman" w:hAnsi="Times New Roman"/>
          <w:sz w:val="28"/>
        </w:rPr>
        <w:t xml:space="preserve">ием услуг по обращению с твердыми коммунальными отходами, и проведения отбора получателей субсидии»</w:t>
      </w:r>
      <w:r>
        <w:rPr>
          <w:rFonts w:ascii="Times New Roman" w:hAnsi="Times New Roman"/>
          <w:sz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1) часть 1 изложить в следующей редакции: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«</w:t>
      </w:r>
      <w:r>
        <w:rPr>
          <w:rFonts w:ascii="Times New Roman" w:hAnsi="Times New Roman"/>
          <w:sz w:val="28"/>
        </w:rPr>
        <w:t xml:space="preserve">1. Настоящий Порядок регулирует вопросы предоставления субсидии в целях достижения результатов регионального проекта «</w:t>
      </w:r>
      <w:r>
        <w:rPr>
          <w:rFonts w:ascii="Times New Roman" w:hAnsi="Times New Roman"/>
          <w:sz w:val="28"/>
        </w:rPr>
        <w:t xml:space="preserve">Экономика замкнутого цикла (Камчатский край)</w:t>
      </w:r>
      <w:r>
        <w:rPr>
          <w:rFonts w:ascii="Times New Roman" w:hAnsi="Times New Roman"/>
          <w:sz w:val="28"/>
        </w:rPr>
        <w:t xml:space="preserve">» (далее – р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егиональный проект) государственной программы Камчатского края «Обращение с отходами производства и потребления в Камчатском крае», утвержденной постановлением Правительства Камчатского края от 06.03.2024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№ 88-П (далее – Госпрограмма)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и реализации мероприятий Плана социального развития центров экономического роста Камчатского края, утвержденного </w:t>
      </w:r>
      <w:hyperlink r:id="rId12" w:tooltip="Распоряжение Правительства Камчатского края от 25.06.2018 N 270-РП (ред. от 21.05.2025) &lt;Об утверждении Плана социального развития центров экономического роста Камчатского края на период до 2025 года&gt; {КонсультантПлюс}" w:history="1">
        <w:r>
          <w:rPr>
            <w:rFonts w:ascii="Times New Roman" w:hAnsi="Times New Roman"/>
            <w:b w:val="0"/>
            <w:bCs w:val="0"/>
            <w:sz w:val="28"/>
            <w:szCs w:val="28"/>
            <w:highlight w:val="none"/>
          </w:rPr>
          <w:t xml:space="preserve">распоряжением</w:t>
        </w:r>
        <w:r>
          <w:rPr>
            <w:rFonts w:ascii="Times New Roman" w:hAnsi="Times New Roman"/>
            <w:b w:val="0"/>
            <w:bCs w:val="0"/>
            <w:sz w:val="28"/>
            <w:szCs w:val="28"/>
            <w:highlight w:val="none"/>
          </w:rPr>
        </w:r>
      </w:hyperlink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Правительства Камчатского края от 25.06.2018 № 270-РП (далее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–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План социального развития)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и определяет порядок и условия предоставления из краевого бюджета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, в том числе за счет средств федерального бюджета в соответствии с </w:t>
      </w:r>
      <w:hyperlink r:id="rId13" w:tooltip="Постановление Правительства РФ от 15.04.2014 N 308 (ред. от 28.11.2025) &quot;Об утверждении государственной программы Российской Федерации &quot;Социально-экономическое развитие Дальневосточного федерального округа&quot; {КонсультантПлюс}" w:history="1">
        <w:r>
          <w:rPr>
            <w:rFonts w:ascii="Times New Roman" w:hAnsi="Times New Roman"/>
            <w:b w:val="0"/>
            <w:bCs w:val="0"/>
            <w:sz w:val="28"/>
            <w:szCs w:val="28"/>
            <w:highlight w:val="none"/>
          </w:rPr>
          <w:t xml:space="preserve">приложением № 1</w:t>
        </w:r>
      </w:hyperlink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к государственной программе Российской Федерации «Социально-экономическое развитие Дальневосточного федерального округа», утвержденной Постановлением Правительства Росс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ийской Федерации от 15.04.2014 № 308,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субсидии юридическим лицам, осуществляющим функции регионал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ьного оператора по обращению с твердыми коммунальными отходами, в целях </w:t>
      </w:r>
      <w:r>
        <w:rPr>
          <w:rFonts w:ascii="Times New Roman" w:hAnsi="Times New Roman"/>
          <w:sz w:val="28"/>
        </w:rPr>
        <w:t xml:space="preserve">финансового обеспечения затрат, связанных с оказанием услуг по обращению с твердыми коммунальными отходами (далее – субсидия), и проведения отбора получателей субсидии (далее – отбор).</w:t>
      </w:r>
      <w:r>
        <w:rPr>
          <w:rFonts w:ascii="Times New Roman" w:hAnsi="Times New Roman"/>
          <w:sz w:val="28"/>
        </w:rPr>
        <w:t xml:space="preserve">»;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highlight w:val="none"/>
        </w:rPr>
        <w:t xml:space="preserve">2) в части 8 слова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соответствии с типовой формой, установленной Министерством финансов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Камчатского края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для соглашений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» заменить словами «в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соответствии с типовыми формами, установленными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Министерством финансов Российской Федерации (в случае получения субсидии из краевого бюджета за счет средств федерального бюджета) и Министерством финансов Камчатского края (в случае получения субсидии из краевого бюджета за счет средств краевого бюджета)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3) в части 11</w:t>
      </w:r>
      <w:r>
        <w:rPr>
          <w:rFonts w:ascii="Times New Roman" w:hAnsi="Times New Roman"/>
          <w:sz w:val="28"/>
          <w:highlight w:val="none"/>
        </w:rPr>
        <w:t xml:space="preserve"> слова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соответствии с типовой формой, установленной Министерством финансов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Камчатского края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для соглашений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» заменить словами «в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соответствии с типовыми формами, установленными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Министерством финансов Российской Федерации (в случае получения субсидии из краевого бюджета за счет средств федерального бюджета) и Министерством финансов Камчатского края (в случае получения субсидии из краевого бюджета за счет средств краевого бюджета)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;</w:t>
      </w:r>
      <w:r/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4) в ча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сти 23 слова 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предусмотренным типовыми формами, установленными Министерством финансов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Камчатского края» заменить словами 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определенным типовыми формами соглашений, установленным Министерством ф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инансов Российской Федерации (в случае получения субсидии из краевого бюджета за счет средств федерального бюджета) и Министерством финансов Камчатского края (в случае получения субсидии из краевого бюджета за счет средств краевого бюджета) для соглашения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26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18"/>
    <w:link w:val="81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18"/>
    <w:link w:val="81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18"/>
    <w:link w:val="81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18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18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2"/>
    <w:next w:val="812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18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2"/>
    <w:next w:val="812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18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2"/>
    <w:next w:val="812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18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2"/>
    <w:next w:val="812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18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2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18"/>
    <w:link w:val="858"/>
    <w:uiPriority w:val="10"/>
    <w:rPr>
      <w:sz w:val="48"/>
      <w:szCs w:val="48"/>
    </w:rPr>
  </w:style>
  <w:style w:type="character" w:styleId="670">
    <w:name w:val="Subtitle Char"/>
    <w:basedOn w:val="818"/>
    <w:link w:val="854"/>
    <w:uiPriority w:val="11"/>
    <w:rPr>
      <w:sz w:val="24"/>
      <w:szCs w:val="24"/>
    </w:rPr>
  </w:style>
  <w:style w:type="paragraph" w:styleId="671">
    <w:name w:val="Quote"/>
    <w:basedOn w:val="812"/>
    <w:next w:val="812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2"/>
    <w:next w:val="812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18"/>
    <w:link w:val="826"/>
    <w:uiPriority w:val="99"/>
  </w:style>
  <w:style w:type="character" w:styleId="676">
    <w:name w:val="Footer Char"/>
    <w:basedOn w:val="818"/>
    <w:link w:val="856"/>
    <w:uiPriority w:val="99"/>
  </w:style>
  <w:style w:type="paragraph" w:styleId="677">
    <w:name w:val="Caption"/>
    <w:basedOn w:val="812"/>
    <w:next w:val="812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818"/>
    <w:link w:val="6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18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18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link w:val="821"/>
    <w:qFormat/>
  </w:style>
  <w:style w:type="paragraph" w:styleId="813">
    <w:name w:val="Heading 1"/>
    <w:next w:val="812"/>
    <w:link w:val="83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4">
    <w:name w:val="Heading 2"/>
    <w:next w:val="812"/>
    <w:link w:val="86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5">
    <w:name w:val="Heading 3"/>
    <w:next w:val="812"/>
    <w:link w:val="83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6">
    <w:name w:val="Heading 4"/>
    <w:next w:val="812"/>
    <w:link w:val="86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7">
    <w:name w:val="Heading 5"/>
    <w:next w:val="812"/>
    <w:link w:val="83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Обычный1"/>
  </w:style>
  <w:style w:type="paragraph" w:styleId="822">
    <w:name w:val="toc 2"/>
    <w:next w:val="812"/>
    <w:link w:val="823"/>
    <w:uiPriority w:val="39"/>
    <w:pPr>
      <w:ind w:left="200"/>
    </w:pPr>
    <w:rPr>
      <w:rFonts w:ascii="XO Thames" w:hAnsi="XO Thames"/>
      <w:sz w:val="28"/>
    </w:rPr>
  </w:style>
  <w:style w:type="character" w:styleId="823" w:customStyle="1">
    <w:name w:val="Оглавление 2 Знак"/>
    <w:link w:val="822"/>
    <w:rPr>
      <w:rFonts w:ascii="XO Thames" w:hAnsi="XO Thames"/>
      <w:sz w:val="28"/>
    </w:rPr>
  </w:style>
  <w:style w:type="paragraph" w:styleId="824">
    <w:name w:val="toc 4"/>
    <w:next w:val="812"/>
    <w:link w:val="825"/>
    <w:uiPriority w:val="39"/>
    <w:pPr>
      <w:ind w:left="600"/>
    </w:pPr>
    <w:rPr>
      <w:rFonts w:ascii="XO Thames" w:hAnsi="XO Thames"/>
      <w:sz w:val="28"/>
    </w:rPr>
  </w:style>
  <w:style w:type="character" w:styleId="825" w:customStyle="1">
    <w:name w:val="Оглавление 4 Знак"/>
    <w:link w:val="824"/>
    <w:rPr>
      <w:rFonts w:ascii="XO Thames" w:hAnsi="XO Thames"/>
      <w:sz w:val="28"/>
    </w:rPr>
  </w:style>
  <w:style w:type="paragraph" w:styleId="826">
    <w:name w:val="Header"/>
    <w:basedOn w:val="812"/>
    <w:link w:val="827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7" w:customStyle="1">
    <w:name w:val="Верхний колонтитул Знак"/>
    <w:basedOn w:val="821"/>
    <w:link w:val="826"/>
    <w:uiPriority w:val="99"/>
  </w:style>
  <w:style w:type="paragraph" w:styleId="828">
    <w:name w:val="toc 6"/>
    <w:next w:val="812"/>
    <w:link w:val="829"/>
    <w:uiPriority w:val="39"/>
    <w:pPr>
      <w:ind w:left="1000"/>
    </w:pPr>
    <w:rPr>
      <w:rFonts w:ascii="XO Thames" w:hAnsi="XO Thames"/>
      <w:sz w:val="28"/>
    </w:rPr>
  </w:style>
  <w:style w:type="character" w:styleId="829" w:customStyle="1">
    <w:name w:val="Оглавление 6 Знак"/>
    <w:link w:val="828"/>
    <w:rPr>
      <w:rFonts w:ascii="XO Thames" w:hAnsi="XO Thames"/>
      <w:sz w:val="28"/>
    </w:rPr>
  </w:style>
  <w:style w:type="paragraph" w:styleId="830">
    <w:name w:val="toc 7"/>
    <w:next w:val="812"/>
    <w:link w:val="831"/>
    <w:uiPriority w:val="39"/>
    <w:pPr>
      <w:ind w:left="1200"/>
    </w:pPr>
    <w:rPr>
      <w:rFonts w:ascii="XO Thames" w:hAnsi="XO Thames"/>
      <w:sz w:val="28"/>
    </w:rPr>
  </w:style>
  <w:style w:type="character" w:styleId="831" w:customStyle="1">
    <w:name w:val="Оглавление 7 Знак"/>
    <w:link w:val="830"/>
    <w:rPr>
      <w:rFonts w:ascii="XO Thames" w:hAnsi="XO Thames"/>
      <w:sz w:val="28"/>
    </w:rPr>
  </w:style>
  <w:style w:type="character" w:styleId="832" w:customStyle="1">
    <w:name w:val="Заголовок 3 Знак"/>
    <w:link w:val="815"/>
    <w:rPr>
      <w:rFonts w:ascii="XO Thames" w:hAnsi="XO Thames"/>
      <w:b/>
      <w:sz w:val="26"/>
    </w:rPr>
  </w:style>
  <w:style w:type="paragraph" w:styleId="833">
    <w:name w:val="Plain Text"/>
    <w:basedOn w:val="812"/>
    <w:link w:val="834"/>
    <w:pPr>
      <w:spacing w:after="0" w:line="240" w:lineRule="auto"/>
    </w:pPr>
    <w:rPr>
      <w:rFonts w:ascii="Calibri" w:hAnsi="Calibri"/>
    </w:rPr>
  </w:style>
  <w:style w:type="character" w:styleId="834" w:customStyle="1">
    <w:name w:val="Текст Знак"/>
    <w:basedOn w:val="821"/>
    <w:link w:val="833"/>
    <w:rPr>
      <w:rFonts w:ascii="Calibri" w:hAnsi="Calibri"/>
    </w:rPr>
  </w:style>
  <w:style w:type="paragraph" w:styleId="835">
    <w:name w:val="toc 3"/>
    <w:next w:val="812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character" w:styleId="837" w:customStyle="1">
    <w:name w:val="Заголовок 5 Знак"/>
    <w:link w:val="817"/>
    <w:rPr>
      <w:rFonts w:ascii="XO Thames" w:hAnsi="XO Thames"/>
      <w:b/>
      <w:sz w:val="22"/>
    </w:rPr>
  </w:style>
  <w:style w:type="character" w:styleId="838" w:customStyle="1">
    <w:name w:val="Заголовок 1 Знак"/>
    <w:link w:val="813"/>
    <w:rPr>
      <w:rFonts w:ascii="XO Thames" w:hAnsi="XO Thames"/>
      <w:b/>
      <w:sz w:val="32"/>
    </w:rPr>
  </w:style>
  <w:style w:type="paragraph" w:styleId="839" w:customStyle="1">
    <w:name w:val="Гиперссылка1"/>
    <w:basedOn w:val="847"/>
    <w:link w:val="840"/>
    <w:rPr>
      <w:color w:val="0563c1" w:themeColor="hyperlink"/>
      <w:u w:val="single"/>
    </w:rPr>
  </w:style>
  <w:style w:type="character" w:styleId="840">
    <w:name w:val="Hyperlink"/>
    <w:basedOn w:val="818"/>
    <w:link w:val="839"/>
    <w:rPr>
      <w:color w:val="0563c1" w:themeColor="hyperlink"/>
      <w:u w:val="single"/>
    </w:rPr>
  </w:style>
  <w:style w:type="paragraph" w:styleId="841" w:customStyle="1">
    <w:name w:val="Footnote"/>
    <w:link w:val="842"/>
    <w:pPr>
      <w:ind w:firstLine="851"/>
      <w:jc w:val="both"/>
    </w:pPr>
    <w:rPr>
      <w:rFonts w:ascii="XO Thames" w:hAnsi="XO Thames"/>
    </w:rPr>
  </w:style>
  <w:style w:type="character" w:styleId="842" w:customStyle="1">
    <w:name w:val="Footnote"/>
    <w:link w:val="841"/>
    <w:rPr>
      <w:rFonts w:ascii="XO Thames" w:hAnsi="XO Thames"/>
      <w:sz w:val="22"/>
    </w:rPr>
  </w:style>
  <w:style w:type="paragraph" w:styleId="843">
    <w:name w:val="toc 1"/>
    <w:next w:val="812"/>
    <w:link w:val="844"/>
    <w:uiPriority w:val="39"/>
    <w:rPr>
      <w:rFonts w:ascii="XO Thames" w:hAnsi="XO Thames"/>
      <w:b/>
      <w:sz w:val="28"/>
    </w:rPr>
  </w:style>
  <w:style w:type="character" w:styleId="844" w:customStyle="1">
    <w:name w:val="Оглавление 1 Знак"/>
    <w:link w:val="843"/>
    <w:rPr>
      <w:rFonts w:ascii="XO Thames" w:hAnsi="XO Thames"/>
      <w:b/>
      <w:sz w:val="28"/>
    </w:rPr>
  </w:style>
  <w:style w:type="paragraph" w:styleId="845" w:customStyle="1">
    <w:name w:val="Header and Footer"/>
    <w:link w:val="846"/>
    <w:pPr>
      <w:jc w:val="both"/>
      <w:spacing w:line="240" w:lineRule="auto"/>
    </w:pPr>
    <w:rPr>
      <w:rFonts w:ascii="XO Thames" w:hAnsi="XO Thames"/>
      <w:sz w:val="20"/>
    </w:rPr>
  </w:style>
  <w:style w:type="character" w:styleId="846" w:customStyle="1">
    <w:name w:val="Header and Footer"/>
    <w:link w:val="845"/>
    <w:rPr>
      <w:rFonts w:ascii="XO Thames" w:hAnsi="XO Thames"/>
      <w:sz w:val="20"/>
    </w:rPr>
  </w:style>
  <w:style w:type="paragraph" w:styleId="847" w:customStyle="1">
    <w:name w:val="Основной шрифт абзаца1"/>
  </w:style>
  <w:style w:type="paragraph" w:styleId="848">
    <w:name w:val="toc 9"/>
    <w:next w:val="812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12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12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Subtitle"/>
    <w:next w:val="812"/>
    <w:link w:val="85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5" w:customStyle="1">
    <w:name w:val="Подзаголовок Знак"/>
    <w:link w:val="854"/>
    <w:rPr>
      <w:rFonts w:ascii="XO Thames" w:hAnsi="XO Thames"/>
      <w:i/>
      <w:sz w:val="24"/>
    </w:rPr>
  </w:style>
  <w:style w:type="paragraph" w:styleId="856">
    <w:name w:val="Footer"/>
    <w:basedOn w:val="812"/>
    <w:link w:val="85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7" w:customStyle="1">
    <w:name w:val="Нижний колонтитул Знак"/>
    <w:basedOn w:val="821"/>
    <w:link w:val="856"/>
    <w:rPr>
      <w:rFonts w:ascii="Times New Roman" w:hAnsi="Times New Roman"/>
      <w:sz w:val="28"/>
    </w:rPr>
  </w:style>
  <w:style w:type="paragraph" w:styleId="858">
    <w:name w:val="Title"/>
    <w:next w:val="812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paragraph" w:styleId="860">
    <w:name w:val="Balloon Text"/>
    <w:basedOn w:val="812"/>
    <w:link w:val="861"/>
    <w:pPr>
      <w:spacing w:after="0" w:line="240" w:lineRule="auto"/>
    </w:pPr>
    <w:rPr>
      <w:rFonts w:ascii="Segoe UI" w:hAnsi="Segoe UI"/>
      <w:sz w:val="18"/>
    </w:rPr>
  </w:style>
  <w:style w:type="character" w:styleId="861" w:customStyle="1">
    <w:name w:val="Текст выноски Знак"/>
    <w:basedOn w:val="821"/>
    <w:link w:val="860"/>
    <w:rPr>
      <w:rFonts w:ascii="Segoe UI" w:hAnsi="Segoe UI"/>
      <w:sz w:val="18"/>
    </w:rPr>
  </w:style>
  <w:style w:type="character" w:styleId="862" w:customStyle="1">
    <w:name w:val="Заголовок 4 Знак"/>
    <w:link w:val="816"/>
    <w:rPr>
      <w:rFonts w:ascii="XO Thames" w:hAnsi="XO Thames"/>
      <w:b/>
      <w:sz w:val="24"/>
    </w:rPr>
  </w:style>
  <w:style w:type="character" w:styleId="863" w:customStyle="1">
    <w:name w:val="Заголовок 2 Знак"/>
    <w:link w:val="814"/>
    <w:rPr>
      <w:rFonts w:ascii="XO Thames" w:hAnsi="XO Thames"/>
      <w:b/>
      <w:sz w:val="28"/>
    </w:rPr>
  </w:style>
  <w:style w:type="table" w:styleId="864">
    <w:name w:val="Table Grid"/>
    <w:basedOn w:val="81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1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2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296&amp;n=216895&amp;date=04.05.2026" TargetMode="External"/><Relationship Id="rId13" Type="http://schemas.openxmlformats.org/officeDocument/2006/relationships/hyperlink" Target="https://login.consultant.ru/link/?req=doc&amp;base=LAW&amp;n=520168&amp;date=04.05.2026&amp;dst=2257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PanihinaMI</cp:lastModifiedBy>
  <cp:revision>15</cp:revision>
  <dcterms:created xsi:type="dcterms:W3CDTF">2025-01-31T01:52:00Z</dcterms:created>
  <dcterms:modified xsi:type="dcterms:W3CDTF">2026-06-08T22:39:13Z</dcterms:modified>
</cp:coreProperties>
</file>