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915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pStyle w:val="931"/>
              <w:ind w:firstLine="540"/>
              <w:jc w:val="center"/>
              <w:spacing w:before="0" w:beforeAutospacing="0" w:after="0" w:afterAutospacing="0" w:line="288" w:lineRule="atLeas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О</w:t>
            </w:r>
            <w:r>
              <w:rPr>
                <w:b/>
                <w:bCs/>
                <w:sz w:val="28"/>
                <w:szCs w:val="28"/>
              </w:rPr>
              <w:t xml:space="preserve">б утверждении Порядка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организации доступа к информации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Style w:val="931"/>
              <w:ind w:firstLine="540"/>
              <w:jc w:val="center"/>
              <w:spacing w:before="0" w:beforeAutospacing="0" w:after="0" w:afterAutospacing="0" w:line="288" w:lineRule="atLeast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о деятельности Министерства финансов Камчатского края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left="2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частями 2 и 3 статьи 9, частью 1 статьи 10,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статьей 15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ьного закона от 09.02.2009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8-ФЗ «Об обеспечении доступа к информации о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еятельности государственных органов и органов местного самоуправления»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пунктом 42 части 2.3 устава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краевого государственного казенного учреждения «Центр финансового обеспечения»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орядок организации доступа к информации о деятельности Министерства финансов Камчатского края согласно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 настоящему приказу.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Установить, что 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одведомственные Министерству финансов Камчатского края организации не создают официальные сайты.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после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2184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А.Н. Бутылин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15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приказу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Министерства финансов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организации доступа к информации о деятельности Министерства финансов Камчатского края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57"/>
        <w:numPr>
          <w:ilvl w:val="0"/>
          <w:numId w:val="29"/>
        </w:numPr>
        <w:ind w:left="349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Общие положения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астоящий Порядок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определяет правила организации доступа к информации о деятельности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финансов Камчатского края (далее – Министерство), в том числе права и обязанности структурных подразделений Министерства или уполномоченн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х лиц, определенных в целях организации доступа к указанной информации, правила присутствия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раждан (физических лиц), в том числе представителей организаций (юридических лиц), общественных объединений, государственны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х органов и органов местного самоуправления на заседаниях коллегиальных органов Министерства, порядок предоставления возможности ознакомления с информацией о деятельности Министерства пользователю информацией в помещениях, занимаемых Министерством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Понятия, используемые в настоящем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Порядке, применяются в том же значении, что 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Федеральном законе от 09.02.2009 № 8-ФЗ «Об обеспечении доступа к информации о деятельности государственных органов и органов местного самоуправления» (далее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Федеральный закон от 09.02.2009 № 8-ФЗ).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14:ligatures w14:val="non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Основные принципы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обеспечения доступа к информации о деятельности Министерства, права пользователя информацией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основные требования при обеспечении доступа к информации о деятельности Министерства установлены статьями 4, 8, 11 Федерального закона от 09.02.2009 № 8-ФЗ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соответственно.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Доступ к информации о деятельности Министерства ограничивается в случаях, предусмотренных статьей 5 Федерального закона от 09.02.2009 №  8- ФЗ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Информац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ия о деятельности Министерства предоставляется на бесплатной основе, за исключением случаев, установленных статьей 22 Федерального закона от 09.02.2009 № 8-ФЗ.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истерство для размещения инф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ормации о своей деятельности использует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официальный сайт в сети «Интерне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hyperlink r:id="rId12" w:tooltip="https://minfin.kamgov.ru/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https://minfin.kamgov.ru/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(далее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официальный сайт Министерства)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 создает официальные страницы для разм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ещения информации о своей деятельности в сети «Интернет».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 об официальных страницах с указателями данных страниц в сети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«Интернет» размещается на официальном сайте Министерства.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Подвед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омственные Министерству организации создают официальные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страницы для размещения информации о своей деятельности в сети «Интернет»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Информация об официальных страницах с указателями данных страниц в сети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Интернет» размещается на официальном сайте Министерства.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7. Министерство, подведомственные организации осуществляют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размещение информации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 своих официальных страницах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получают доступ к информации, размещаемой на официальных страницах, осуществляют взаимодейств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 пользователями информацией на официальных страницах с использованием инфраструктуры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обеспечивающей информационно-технологическое взаимодействие информационных систем,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используемых для предоставления государственных и муниципальных услуг и исполнения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государственных и муниципальных функций в электронной форме, предусмотренной Федеральным законом от 27.07.2010 № 210-ФЗ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«Об  организации предоставления государственных и муниципальных услуг» в порядке, установленном Правительством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8.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целях обеспечения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права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неограниченного круга лиц на доступ к информации о деятельности Министерства, размещаемой в сети «Интернет»,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местах, доступных для пользователей информацией (в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помещениях Министерства, других доступных для посещения местах), создаются пункты подключения к сети «Интернет».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 о деятельности Министерства предоставляется в устной форме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виде документированной информации, в том числе в форме электронного докум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ента.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Общедоступная информация о деятельности Министерства предоставляется Министерством неограниченному кругу лиц посредством ее размещения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 официальном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сайте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форме открытых данных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федеральным законодательством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Информация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деятельности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Министерств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 устной форме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предоставляется пользователям информацией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numPr>
          <w:ilvl w:val="0"/>
          <w:numId w:val="22"/>
        </w:numPr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Министром финансов Камчатского края, руководителем подведомственной организации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во время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приема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757"/>
        <w:numPr>
          <w:ilvl w:val="0"/>
          <w:numId w:val="22"/>
        </w:numPr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 телефону приемной Министерства 8(4152) 41-28-60.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 о деятельности Министерства в виде документированной информации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предоставляется пользователям информацией: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при ответе на запрос, составленный в устной форме, в случае, если указанным запрос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 определено предоставление информации о деятельности Министерства в виде документированной информации, либо если такая информация необходима пользователю информацией для представления в государственные органы, органы местного самоуправления,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при ответе на запрос, составленный в письменной форме, если указанным запросом не определена иная форма предоставления информации.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невозможности предоставления информации о деятельности Министерства в запрашиваемой форме информация предоставляется в том виде, в каком она имеется в Министерстве.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 о деятельности Министерства может быть передана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сетям связи общего пользования.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Доступ к информации о деятельности Министерства обеспечивается следующими способами: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1) обнародование (опубликование) Министерством информации о своей деятельности в средствах массовой информации;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размещение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сети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Интернет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информации, предусмотренной статьей 13 Федерального закона от 09.02.2009 № 8-ФЗ;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3) размещение Министерством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 подведомственным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организациям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информации о своей деятельности в занимаемых ими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омещениях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:lang w:eastAsia="ru-RU"/>
        </w:rPr>
        <w:t xml:space="preserve">и в иных отведенных для этих целей местах;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4) ознакомление пользователей информацией с информацией о деятельности Министерства в помещениях, занимаемых Министерством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 подведомственным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организациям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а также через их архивные фонды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альных органов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 предоставление пользователям информацией по их запросу информации о деятельности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7) другими способами, предусмотренными законами и (или) иными нормативными правовыми актами.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57"/>
        <w:ind w:left="0" w:firstLine="0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Обнародование (опубликование) Министерством информации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своей 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средствах массовой информации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57"/>
        <w:ind w:left="0" w:firstLine="0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Обнародование (опубликование) информации о 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Министерства в средствах массовой информации осуществляется в соответствии с законодательством Российской Федерации о средствах массовой информации.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Если для отдельных видов информации о деятельности Министерства законодательством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законодательством Камчатского края предусматриваются требования к опубликованию такой информации, то ее опубликование осуществляется с учетом этих требований.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16. Официальное опубликование нормативных правовых актов Министерства осуществляется в соответствии с установленным законодательством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законодательством Камчатского края порядком их официального опубликования.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17.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полномоченными должностными лицами, которые могут доводить информацию о деятельности Министерства до сведения средств массовой информации, являются Министр финансов Камчатского края и его заместители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7"/>
        <w:ind w:left="0" w:firstLine="0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Размещение Министерством информации о своей деятельности в сети «Интернет»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7"/>
        <w:ind w:left="0" w:firstLine="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Размещение в сети «Интернет»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информации, предусмотренной статьей 13 Федерального закона от 09.02.2009 № 8-ФЗ, осуществл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яется посредством: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официального сайта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официальных страниц Министерства, подведомственных организаций;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официального сайта федеральной государственной информационной системы в области государственной службы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нформа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ция о деятельности Министерства на официальном сайте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Министерства размещается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 соответствии с перечнем информации о деятельности Министерства, размещаемой в сети Интернет, утверждаемым приказом Министерства (далее – Перечень информации).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Размещение информации о деятельности Министерства на официальном сайте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Министерства осуществляется находящимся в ведении Министерства краевым государственным казенным учреждением «Центр финансового обеспечения» (далее – КГКУ «ЦФО»)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Работники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КГКУ «ЦФО», ответственные за своевременное размещение информации (далее – работник, ответственный за размещение информации), определяются приказом КГКУ «ЦФО».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21. Перечень 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иц, ответственных за подготовку и направление информации о деятельности Министерства, включенной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перечень информации о деятельности Министерства, размещаемой в сети Интернет (далее – Перечень лиц), работнику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ответственному за размещение информации, установлен приложением к настоящему Порядку.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Подготовка и направлен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такой информации осуществляется с учетом сроков размещения (обновления) информации, указанных в Перечне информации. Направление данной информации осуществляется на адрес электронной почты wwwminfin@kamgov.ru.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22.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азмещение информации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 деятельности Министерства на официальном сайте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работником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ответственным за размещение информации, осуществляется в течение 2 рабочих дней после дня ее получения от лиц,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определенных Перечнем лиц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Создание официальных страниц Министерства в социальных сетях (далее – официальные страницы),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размещение информации на них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получение доступа к информации, размещаемой на официальных страницах, взаимодействие с пользователями информацией на официальных страницах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осуществляется КГКУ «ЦФО».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Работники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КГКУ «ЦФО»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ответственные за создание официальных страниц, размещение информации на них,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получение доступа к информации, размещаемой на официальных страницах, взаимодействие с пользователями информацией на официальных страницах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(далее – работник, ответственный за ведение официальной страницы),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определяются приказом КГКУ «ЦФО»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Указанные работники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самостоятельно осуществляет подбор информации о деятельности Министерства для ее размещения на официальной странице.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Структурные подразделения Министерства вправе предоставлять информацию о своей деятельности работнику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ответственному за ведение официальной страницы,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для размещения на официальной странице. Информация, предоставляемая стру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ктурными подразделениями Министерства для публикации на официальной странице, должна быть согласована руководителем соответствующего структурного подразделения Министерства (лицом, его замещающим).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25. Работник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ответственный за ведение официальной страницы,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вправе редактировать представленную для размещения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ю 24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настоящего Порядка информацию, а также вернуть информацию на доработку с указанием перечня замечаний, предложений к тексту и (или) содержанию информации. Редактирование текста информационного материала осуществляется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 согласованию с лицом, представившим его для размещения.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26.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пунктах 6.2-6.4 Перечня информации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размещается на официальном сайте Министерства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оответствии с Положением о единой кадровой службе исполнительных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органов Камчатского края, утвержденным постановлением Губернатора Камчатского края от 25.10.2023 № 40, и соглашением о взаимодействии Администрации Губернатора Камчатского края и Министерства финансов Камчатского края в сфере кадровой работы от 15.12.2023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также на официальном сайте федеральной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государственной информационной системы в области государственной службы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сети «Интернет» в порядке, определенном Правительством Российской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57"/>
        <w:ind w:left="0" w:firstLine="0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Порядок ознакомления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пользователей информацией с информацией о деятельности Министерства в помещениях, занимаемых Министерством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 подведомственным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организациям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а также через их архивные фонды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27.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ля ознакомления пользователей информацией с текущей информацией 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деятельности Министерства Министерство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специально отведенном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месте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занимаемых помещений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размещ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информационный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стенд.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28. Информация, размещаемая на информационном стенде, должна содержать: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порядок работы Министерства, включая порядок приема граждан (физических лиц), в том числе представителей организаций (юридических лиц),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общественных объединений, государственных органов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условия и порядок получения информации от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29. Министерство вправе размещать на информационном стенде иные сведения с соблюдением законодательства Российской Федерации и Камчатского края, необходимые для оперативного информирования пользователей инфор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мацией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 деятельности Министерства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Создание информационного стенда,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азмещение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поддержание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актуальном состоянии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информации,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осуществляется работниками КГКУ «ЦФО»,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выполняющими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обеспечения функционирования системы документационного оборота деятельности Министерства (далее – работник приемной)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Структурные подразделения Министерства вправе предоставлять информацию о деятельности Министерства работнику приемной для размещения на информационном стенде. Информация, предоставляемая стру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ктурными подразделениями Министерства для размещения на информационном стенде, должна быть согласована руководителем соответствующего структурного подразделения Министерства (лицом, его замещающим).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Ознакомление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пользователей информацией с информацией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деятельности Министерства, находящейся в архивных фондах, осуществляется в порядк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е, установленном законодательством Российской Федерации и статьей 8 Закона Камчатского края от 26.04.2010 № 413 «Об обеспечении доступа к информации о деятельности органов государственной власти Камчатского края и государственных органов Камчатского края».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Ознакомление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пользователей информацией с информацией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деятельности Министерства, находящейся в архивных фондах,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осуществляется архивом Министерства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7"/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 Присутствие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Министерства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57"/>
        <w:ind w:left="0"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57"/>
        <w:ind w:left="0" w:firstLine="709"/>
        <w:jc w:val="both"/>
        <w:spacing w:after="0" w:line="240" w:lineRule="auto"/>
        <w:tabs>
          <w:tab w:val="left" w:pos="3926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Присутствие граждан (физических лиц), в том числе представителей организаций (юридических лиц), общественных объединений, государственны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х органов и органов местного самоуправления на заседаниях коллегиальных органов Министерства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обеспечивается государственным гражданским служащим Министерства, исполняющим функции секретаря коллегиального органа Министерства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(далее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Информация о заседаниях коллегиальных органов Министерства, на которые приглашаются граждане (физические лица),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размещается не позднее семи рабочих дней до дня проведения заседания Министерства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официальном сайте Министерства.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нформация о заседаниях коллегиальных органов Министерства, на которые приглашаются граждане (физические лица)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содержит информацию о месте, времени проведения заседания коллегиального органа Министерства, о тематике заседания (повестке),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 условиях присутствия граждан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заседании, адрес электронной почты и номер телефона секретаря коллегиального органа Министерства.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24" w:firstLine="709"/>
        <w:jc w:val="both"/>
        <w:spacing w:after="0" w:line="322" w:lineRule="exact"/>
        <w:tabs>
          <w:tab w:val="left" w:pos="1382" w:leader="none"/>
        </w:tabs>
        <w:rPr>
          <w:rFonts w:ascii="Times New Roman" w:hAnsi="Times New Roman" w:eastAsia="Times New Roman" w:cs="Times New Roman"/>
          <w:iCs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36.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Гражданин (физическое лицо)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изъявившее желание присутствовать на заседании колле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гиального органа Министерства, направ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ляет в Министерство не позднее чем за три рабочих дня до дня проведения заседания коллегиального органа Министерства заявку на адрес электронный почты секретаря коллегиального органа Министерства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или иным доступным способом, подтверждающим получение заявки Министерством. Заявка оформляется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произвольной форме с указанием фамилии, имени, отчества лица, адреса места жительства, номера его телефона и (или) адреса электронной почты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Cs/>
          <w:sz w:val="28"/>
          <w:szCs w:val="28"/>
          <w:highlight w:val="white"/>
        </w:rPr>
      </w:r>
    </w:p>
    <w:p>
      <w:pPr>
        <w:ind w:right="24" w:firstLine="709"/>
        <w:jc w:val="both"/>
        <w:spacing w:after="0" w:line="240" w:lineRule="auto"/>
        <w:tabs>
          <w:tab w:val="left" w:pos="1382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37.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случае невозможности обеспечить присутствие на заседании коллегиального органа Министерства всех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граждан (физических лиц)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направивших заявки,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секретарь коллегиального орга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обеспечива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 возможность присутствия на заседании коллегиального органа Министерства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граждан (физических лиц)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заявки которых поступили ранее других заявок.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24" w:firstLine="709"/>
        <w:jc w:val="both"/>
        <w:spacing w:after="0" w:line="322" w:lineRule="exact"/>
        <w:tabs>
          <w:tab w:val="left" w:pos="138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38.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Секретарь коллегиального органа не менее чем за два рабочих дня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 дня проведения заседания коллегиального органа Министерства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раждан (физических лиц)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направивших заявки для участия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заседании колле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гиального органа Министерства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 возможности (невозможности)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присутствия на заседании коллегиального органа Министерства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 телефону, указанному для связи в заявке, или иным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доступным способом, подтверждающим получение заявки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ражданином (физическим лицом)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изъявившим желание присутствовать на заседании колле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гиального органа Министерства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57"/>
        <w:ind w:left="0" w:firstLine="0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редоставление пользователям информацией по их запросу информации о деятельности 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24" w:firstLine="709"/>
        <w:jc w:val="both"/>
        <w:spacing w:after="0" w:line="240" w:lineRule="auto"/>
        <w:tabs>
          <w:tab w:val="left" w:pos="1382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Пользователь информацией имеет право обратиться в Министерство с запросом информации о деятельности Министерства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</w:r>
    </w:p>
    <w:p>
      <w:pPr>
        <w:ind w:right="24" w:firstLine="709"/>
        <w:jc w:val="both"/>
        <w:spacing w:after="0" w:line="240" w:lineRule="auto"/>
        <w:tabs>
          <w:tab w:val="left" w:pos="138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Работа с запросом информац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 о деятельности Министерства осуществляется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порядке, установленном статьями 18–20 Федерального закона от 09.02.2009 № 8-ФЗ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15"/>
        <w:tblW w:w="0" w:type="auto"/>
        <w:tblLayout w:type="fixed"/>
        <w:tblLook w:val="04A0" w:firstRow="1" w:lastRow="0" w:firstColumn="1" w:lastColumn="0" w:noHBand="0" w:noVBand="1"/>
      </w:tblPr>
      <w:tblGrid>
        <w:gridCol w:w="5953"/>
        <w:gridCol w:w="36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Приложение к Порядку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организации доступа к информации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о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Министерства финансов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Камчатского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лиц,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left="0" w:right="1" w:firstLine="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ответственных за подготовку и направление информации о деятельности Министерства финансов Камчатского края, включенной в перечень информации о деятельности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финансов Камчатского края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размещаемой в сети Интернет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5386"/>
        <w:gridCol w:w="3685"/>
      </w:tblGrid>
      <w:tr>
        <w:tblPrEx/>
        <w:trPr>
          <w:trHeight w:val="494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51"/>
              <w:contextualSpacing/>
              <w:spacing w:line="20" w:lineRule="atLeast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95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Ответственное лицо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Пункты Перечня информации о деятельности Министерства финансов Камчатского края, размещаемой в сети Интернет, утвержденного приказом Министерства финансов Камчатского края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26.04.2016 № 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after="0" w:line="1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638" w:type="dxa"/>
        <w:tblInd w:w="0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3685"/>
      </w:tblGrid>
      <w:tr>
        <w:tblPrEx/>
        <w:trPr>
          <w:trHeight w:val="255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52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952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952"/>
              <w:contextualSpacing/>
              <w:jc w:val="center"/>
              <w:spacing w:line="2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6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52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Сотрудник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краевого государственного казенного учреждения «Центр финансового обеспечения» (далее – КГКУ «ЦФО»),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выполняющий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обеспечения функционирования системы документационного оборота деятельности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Министерства финансов Камчатского края (далее – Министерство)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9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Пункты 1.1 (за исключением информации о структуре Министерства), 1.3,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1.6, 1.7,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2.6, 7.1,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tabs>
                <w:tab w:val="left" w:pos="46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Style w:val="952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pStyle w:val="95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Заместитель Министра – начальник отдела финансирования, учета и отчетности Министерства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Пункты 1.2*, 2.3*,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2.5* (в части иных решений,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принятых Министерством),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3.5*, 3.6*, 3.7*, 3.10, 3.11, 3.12, 4.1, 5.1*, 5.2*, 5.3*, раздел 8*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120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5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аместитель Министра – начальник бюджетного отдела Министерства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Пункты 1.2*, 2.3*,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2.5* (в части иных решений,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принятых Министерством,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3.3, 3.4, 3.5*, 3.6*, 3.7*, 5.1*, 5.2*, 5.3*, раздел 8*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5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Начальник контрольного управления Министерства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 2.5*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 иных решений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принятых Министерством)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5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color w:val="53813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отдела финансового контроля контрольного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управления Министерства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Пункты 1.2*,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2.3*,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3.5*, 3.6*, 3.7*, 3.8*, 3.9*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5.1*, 5.2*,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5.3*, раздел 8*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5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950"/>
              <w:jc w:val="both"/>
              <w:spacing w:before="0"/>
              <w:shd w:val="clear" w:color="auto" w:fill="ffffff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Начальник отдела контроля и регулирования контрактной системы контрольного управления Министерства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Пункты 1.2*,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2.3*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2.4, 3.5*, 3.6*, 3.7*, 3.8*, 3.9*, 5.1*, 5.2*, 5.3*, раздел 8*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4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5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Директор КГКУ «ЦФО»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Пункты 1.4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4.2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4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5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Заместитель начальника отдела правового обеспечения Министерства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Пункты 1.1 (в части структуры Министерства),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1.2*,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1.5,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2.2, 2.3*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2.5 (в части обжалования нормативных правовых актов),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2.6*,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3.5*, 3.6*, 3.7*, 5.1*, 5.2*, 5.3*, раздел 8*</w:t>
            </w:r>
            <w:r>
              <w:rPr>
                <w:rFonts w:ascii="Times New Roman" w:hAnsi="Times New Roman" w:cs="Times New Roman"/>
                <w:strike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trike/>
                <w:sz w:val="22"/>
                <w:szCs w:val="22"/>
              </w:rPr>
            </w:r>
          </w:p>
        </w:tc>
      </w:tr>
      <w:tr>
        <w:tblPrEx/>
        <w:trPr>
          <w:trHeight w:val="8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95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Уполномоченное должностное лицо, ответственное за профилактику коррупционных и иных правонарушений в Министерстве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57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9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6.1, 6.5, 6.6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ind w:left="0" w:right="0" w:firstLine="142"/>
        <w:shd w:val="nil" w:color="auto"/>
        <w:rPr>
          <w:rFonts w:ascii="Times New Roman" w:hAnsi="Times New Roman" w:cs="Times New Roman"/>
        </w:rPr>
      </w:pPr>
      <w:r>
        <w:t xml:space="preserve">*  </w:t>
      </w:r>
      <w:r>
        <w:rPr>
          <w:rFonts w:ascii="Times New Roman" w:hAnsi="Times New Roman" w:eastAsia="Times New Roman" w:cs="Times New Roman"/>
        </w:rPr>
        <w:t xml:space="preserve">– информация готовится в пределах компетенции структурного подразделения</w:t>
      </w:r>
      <w:r>
        <w:rPr>
          <w:rFonts w:ascii="Times New Roman" w:hAnsi="Times New Roman" w:eastAsia="Times New Roman" w:cs="Times New Roman"/>
        </w:rPr>
        <w:t xml:space="preserve"> Министерства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Tempora LGC Uni">
    <w:panose1 w:val="02020603050405020304"/>
  </w:font>
  <w:font w:name="Calibri Light">
    <w:panose1 w:val="020F0502020204030204"/>
  </w:font>
  <w:font w:name="XO Thames">
    <w:panose1 w:val="02000603000000000000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92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1">
    <w:name w:val="Heading 1 Char"/>
    <w:basedOn w:val="912"/>
    <w:link w:val="91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42">
    <w:name w:val="Heading 2 Char"/>
    <w:basedOn w:val="912"/>
    <w:link w:val="911"/>
    <w:uiPriority w:val="9"/>
    <w:rPr>
      <w:rFonts w:ascii="Liberation Sans" w:hAnsi="Liberation Sans" w:eastAsia="Liberation Sans" w:cs="Liberation Sans"/>
      <w:sz w:val="34"/>
    </w:rPr>
  </w:style>
  <w:style w:type="paragraph" w:styleId="743">
    <w:name w:val="Heading 3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44">
    <w:name w:val="Heading 3 Char"/>
    <w:basedOn w:val="912"/>
    <w:link w:val="74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45">
    <w:name w:val="Heading 4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6">
    <w:name w:val="Heading 4 Char"/>
    <w:basedOn w:val="912"/>
    <w:link w:val="74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47">
    <w:name w:val="Heading 5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48">
    <w:name w:val="Heading 5 Char"/>
    <w:basedOn w:val="912"/>
    <w:link w:val="74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49">
    <w:name w:val="Heading 6"/>
    <w:basedOn w:val="909"/>
    <w:next w:val="909"/>
    <w:link w:val="75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50">
    <w:name w:val="Heading 6 Char"/>
    <w:basedOn w:val="912"/>
    <w:link w:val="74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51">
    <w:name w:val="Heading 7"/>
    <w:basedOn w:val="909"/>
    <w:next w:val="909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52">
    <w:name w:val="Heading 7 Char"/>
    <w:basedOn w:val="912"/>
    <w:link w:val="75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53">
    <w:name w:val="Heading 8"/>
    <w:basedOn w:val="909"/>
    <w:next w:val="909"/>
    <w:link w:val="75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4">
    <w:name w:val="Heading 8 Char"/>
    <w:basedOn w:val="912"/>
    <w:link w:val="75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55">
    <w:name w:val="Heading 9"/>
    <w:basedOn w:val="909"/>
    <w:next w:val="909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56">
    <w:name w:val="Heading 9 Char"/>
    <w:basedOn w:val="912"/>
    <w:link w:val="75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57">
    <w:name w:val="List Paragraph"/>
    <w:basedOn w:val="909"/>
    <w:uiPriority w:val="34"/>
    <w:qFormat/>
    <w:pPr>
      <w:contextualSpacing/>
      <w:ind w:left="720"/>
    </w:pPr>
  </w:style>
  <w:style w:type="paragraph" w:styleId="758">
    <w:name w:val="No Spacing"/>
    <w:uiPriority w:val="1"/>
    <w:qFormat/>
    <w:pPr>
      <w:spacing w:before="0" w:after="0" w:line="240" w:lineRule="auto"/>
    </w:pPr>
  </w:style>
  <w:style w:type="character" w:styleId="759">
    <w:name w:val="Title Char"/>
    <w:basedOn w:val="912"/>
    <w:link w:val="940"/>
    <w:uiPriority w:val="10"/>
    <w:rPr>
      <w:sz w:val="48"/>
      <w:szCs w:val="48"/>
    </w:rPr>
  </w:style>
  <w:style w:type="paragraph" w:styleId="760">
    <w:name w:val="Subtitle"/>
    <w:basedOn w:val="909"/>
    <w:next w:val="909"/>
    <w:link w:val="761"/>
    <w:uiPriority w:val="11"/>
    <w:qFormat/>
    <w:pPr>
      <w:spacing w:before="200" w:after="200"/>
    </w:pPr>
    <w:rPr>
      <w:sz w:val="24"/>
      <w:szCs w:val="24"/>
    </w:rPr>
  </w:style>
  <w:style w:type="character" w:styleId="761">
    <w:name w:val="Subtitle Char"/>
    <w:basedOn w:val="912"/>
    <w:link w:val="760"/>
    <w:uiPriority w:val="11"/>
    <w:rPr>
      <w:sz w:val="24"/>
      <w:szCs w:val="24"/>
    </w:rPr>
  </w:style>
  <w:style w:type="character" w:styleId="762">
    <w:name w:val="Quote Char"/>
    <w:link w:val="945"/>
    <w:uiPriority w:val="29"/>
    <w:rPr>
      <w:i/>
    </w:rPr>
  </w:style>
  <w:style w:type="paragraph" w:styleId="763">
    <w:name w:val="Intense Quote"/>
    <w:basedOn w:val="909"/>
    <w:next w:val="909"/>
    <w:link w:val="7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>
    <w:name w:val="Intense Quote Char"/>
    <w:link w:val="763"/>
    <w:uiPriority w:val="30"/>
    <w:rPr>
      <w:i/>
    </w:rPr>
  </w:style>
  <w:style w:type="character" w:styleId="765">
    <w:name w:val="Header Char"/>
    <w:basedOn w:val="912"/>
    <w:link w:val="922"/>
    <w:uiPriority w:val="99"/>
  </w:style>
  <w:style w:type="character" w:styleId="766">
    <w:name w:val="Footer Char"/>
    <w:basedOn w:val="912"/>
    <w:link w:val="918"/>
    <w:uiPriority w:val="99"/>
  </w:style>
  <w:style w:type="paragraph" w:styleId="767">
    <w:name w:val="Caption"/>
    <w:basedOn w:val="909"/>
    <w:next w:val="909"/>
    <w:link w:val="7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912"/>
    <w:link w:val="767"/>
    <w:uiPriority w:val="35"/>
    <w:rPr>
      <w:b/>
      <w:bCs/>
      <w:color w:val="4f81bd" w:themeColor="accent1"/>
      <w:sz w:val="18"/>
      <w:szCs w:val="18"/>
    </w:rPr>
  </w:style>
  <w:style w:type="table" w:styleId="769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1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2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11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12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13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14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15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6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7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3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4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5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6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7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8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9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67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68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69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70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71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72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73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5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9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2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3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4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5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6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7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Footnote Text Char"/>
    <w:link w:val="936"/>
    <w:uiPriority w:val="99"/>
    <w:rPr>
      <w:sz w:val="18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basedOn w:val="912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qFormat/>
  </w:style>
  <w:style w:type="paragraph" w:styleId="910">
    <w:name w:val="Heading 1"/>
    <w:basedOn w:val="909"/>
    <w:next w:val="909"/>
    <w:link w:val="929"/>
    <w:uiPriority w:val="9"/>
    <w:qFormat/>
    <w:pPr>
      <w:jc w:val="both"/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11">
    <w:name w:val="Heading 2"/>
    <w:basedOn w:val="909"/>
    <w:next w:val="909"/>
    <w:link w:val="932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2" w:default="1">
    <w:name w:val="Default Paragraph Font"/>
    <w:uiPriority w:val="1"/>
    <w:semiHidden/>
    <w:unhideWhenUsed/>
  </w:style>
  <w:style w:type="table" w:styleId="9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4" w:default="1">
    <w:name w:val="No List"/>
    <w:uiPriority w:val="99"/>
    <w:semiHidden/>
    <w:unhideWhenUsed/>
  </w:style>
  <w:style w:type="table" w:styleId="915">
    <w:name w:val="Table Grid"/>
    <w:basedOn w:val="91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6">
    <w:name w:val="Plain Text"/>
    <w:basedOn w:val="909"/>
    <w:link w:val="917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917" w:customStyle="1">
    <w:name w:val="Текст Знак"/>
    <w:basedOn w:val="912"/>
    <w:link w:val="916"/>
    <w:uiPriority w:val="99"/>
    <w:semiHidden/>
    <w:rPr>
      <w:rFonts w:ascii="Calibri" w:hAnsi="Calibri" w:eastAsia="Calibri" w:cs="Times New Roman"/>
      <w:szCs w:val="21"/>
    </w:rPr>
  </w:style>
  <w:style w:type="paragraph" w:styleId="918">
    <w:name w:val="Footer"/>
    <w:basedOn w:val="909"/>
    <w:link w:val="919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19" w:customStyle="1">
    <w:name w:val="Нижний колонтитул Знак"/>
    <w:basedOn w:val="912"/>
    <w:link w:val="91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0">
    <w:name w:val="Balloon Text"/>
    <w:basedOn w:val="909"/>
    <w:link w:val="92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1" w:customStyle="1">
    <w:name w:val="Текст выноски Знак"/>
    <w:basedOn w:val="912"/>
    <w:link w:val="920"/>
    <w:uiPriority w:val="99"/>
    <w:semiHidden/>
    <w:rPr>
      <w:rFonts w:ascii="Segoe UI" w:hAnsi="Segoe UI" w:cs="Segoe UI"/>
      <w:sz w:val="18"/>
      <w:szCs w:val="18"/>
    </w:rPr>
  </w:style>
  <w:style w:type="paragraph" w:styleId="922">
    <w:name w:val="Header"/>
    <w:basedOn w:val="909"/>
    <w:link w:val="9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3" w:customStyle="1">
    <w:name w:val="Верхний колонтитул Знак"/>
    <w:basedOn w:val="912"/>
    <w:link w:val="922"/>
    <w:uiPriority w:val="99"/>
  </w:style>
  <w:style w:type="character" w:styleId="924">
    <w:name w:val="Hyperlink"/>
    <w:basedOn w:val="912"/>
    <w:uiPriority w:val="99"/>
    <w:unhideWhenUsed/>
    <w:rPr>
      <w:color w:val="0563c1" w:themeColor="hyperlink"/>
      <w:u w:val="single"/>
    </w:rPr>
  </w:style>
  <w:style w:type="table" w:styleId="925" w:customStyle="1">
    <w:name w:val="Сетка таблицы1"/>
    <w:basedOn w:val="913"/>
    <w:next w:val="91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6" w:customStyle="1">
    <w:name w:val="Сетка таблицы2"/>
    <w:basedOn w:val="913"/>
    <w:next w:val="91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7" w:customStyle="1">
    <w:name w:val="bx-messenger-ajax"/>
    <w:basedOn w:val="912"/>
  </w:style>
  <w:style w:type="paragraph" w:styleId="928" w:customStyle="1">
    <w:name w:val="Default"/>
    <w:qFormat/>
    <w:pPr>
      <w:spacing w:before="100"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</w:rPr>
  </w:style>
  <w:style w:type="character" w:styleId="929" w:customStyle="1">
    <w:name w:val="Заголовок 1 Знак"/>
    <w:basedOn w:val="912"/>
    <w:link w:val="910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30" w:customStyle="1">
    <w:name w:val="Internet Link"/>
    <w:basedOn w:val="912"/>
    <w:uiPriority w:val="99"/>
    <w:unhideWhenUsed/>
    <w:qFormat/>
    <w:rPr>
      <w:color w:val="0563c1" w:themeColor="hyperlink"/>
      <w:u w:val="single"/>
    </w:rPr>
  </w:style>
  <w:style w:type="paragraph" w:styleId="931">
    <w:name w:val="Normal (Web)"/>
    <w:basedOn w:val="90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 w:customStyle="1">
    <w:name w:val="Заголовок 2 Знак"/>
    <w:basedOn w:val="912"/>
    <w:link w:val="911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33" w:customStyle="1">
    <w:name w:val="Текст сноски Знак"/>
    <w:basedOn w:val="912"/>
    <w:link w:val="936"/>
    <w:uiPriority w:val="99"/>
    <w:semiHidden/>
    <w:qFormat/>
    <w:rPr>
      <w:sz w:val="20"/>
      <w:szCs w:val="20"/>
    </w:rPr>
  </w:style>
  <w:style w:type="character" w:styleId="934">
    <w:name w:val="footnote reference"/>
    <w:rPr>
      <w:vertAlign w:val="superscript"/>
    </w:rPr>
  </w:style>
  <w:style w:type="character" w:styleId="935" w:customStyle="1">
    <w:name w:val="Символ сноски"/>
    <w:qFormat/>
  </w:style>
  <w:style w:type="paragraph" w:styleId="936">
    <w:name w:val="footnote text"/>
    <w:basedOn w:val="909"/>
    <w:link w:val="93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37" w:customStyle="1">
    <w:name w:val="Текст сноски Знак1"/>
    <w:basedOn w:val="912"/>
    <w:uiPriority w:val="99"/>
    <w:semiHidden/>
    <w:rPr>
      <w:sz w:val="20"/>
      <w:szCs w:val="20"/>
    </w:rPr>
  </w:style>
  <w:style w:type="paragraph" w:styleId="938" w:customStyle="1">
    <w:name w:val="Гиперссылка1"/>
    <w:pPr>
      <w:spacing w:after="0" w:line="240" w:lineRule="auto"/>
    </w:pPr>
    <w:rPr>
      <w:rFonts w:ascii="Times New Roman" w:hAnsi="Times New Roman" w:eastAsia="Times New Roman" w:cs="Times New Roman"/>
      <w:color w:val="0000ff"/>
      <w:sz w:val="20"/>
      <w:szCs w:val="20"/>
      <w:u w:val="single"/>
      <w:lang w:eastAsia="ru-RU"/>
    </w:rPr>
  </w:style>
  <w:style w:type="character" w:styleId="939" w:customStyle="1">
    <w:name w:val="Заголовок Знак"/>
    <w:basedOn w:val="912"/>
    <w:link w:val="940"/>
    <w:uiPriority w:val="10"/>
    <w:qFormat/>
    <w:rPr>
      <w:b/>
    </w:rPr>
  </w:style>
  <w:style w:type="paragraph" w:styleId="940">
    <w:name w:val="Title"/>
    <w:basedOn w:val="909"/>
    <w:next w:val="942"/>
    <w:link w:val="939"/>
    <w:uiPriority w:val="10"/>
    <w:qFormat/>
    <w:rPr>
      <w:b/>
    </w:rPr>
  </w:style>
  <w:style w:type="character" w:styleId="941" w:customStyle="1">
    <w:name w:val="Заголовок Знак1"/>
    <w:basedOn w:val="91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42">
    <w:name w:val="Body Text"/>
    <w:basedOn w:val="909"/>
    <w:link w:val="943"/>
    <w:uiPriority w:val="99"/>
    <w:semiHidden/>
    <w:unhideWhenUsed/>
    <w:pPr>
      <w:spacing w:after="120"/>
    </w:pPr>
  </w:style>
  <w:style w:type="character" w:styleId="943" w:customStyle="1">
    <w:name w:val="Основной текст Знак"/>
    <w:basedOn w:val="912"/>
    <w:link w:val="942"/>
    <w:uiPriority w:val="99"/>
    <w:semiHidden/>
  </w:style>
  <w:style w:type="character" w:styleId="944" w:customStyle="1">
    <w:name w:val="Цитата 2 Знак"/>
    <w:basedOn w:val="912"/>
    <w:link w:val="945"/>
    <w:uiPriority w:val="29"/>
    <w:qFormat/>
    <w:rPr>
      <w:rFonts w:ascii="Times New Roman" w:hAnsi="Times New Roman" w:cs="Times New Roman"/>
      <w:color w:val="171717" w:themeColor="background2" w:themeShade="1A"/>
      <w:sz w:val="24"/>
      <w:szCs w:val="24"/>
      <w:shd w:val="clear" w:color="auto" w:fill="f2f2f2" w:themeFill="background1" w:themeFillShade="F2"/>
    </w:rPr>
  </w:style>
  <w:style w:type="paragraph" w:styleId="945">
    <w:name w:val="Quote"/>
    <w:basedOn w:val="909"/>
    <w:next w:val="909"/>
    <w:link w:val="944"/>
    <w:uiPriority w:val="29"/>
    <w:qFormat/>
    <w:pPr>
      <w:ind w:left="170"/>
      <w:jc w:val="both"/>
      <w:spacing w:line="276" w:lineRule="auto"/>
      <w:shd w:val="clear" w:color="auto" w:fill="f2f2f2" w:themeFill="background1" w:themeFillShade="F2"/>
      <w:pBdr>
        <w:left w:val="single" w:color="1F4E79" w:themeColor="accent1" w:themeShade="80" w:sz="12" w:space="4"/>
      </w:pBdr>
    </w:pPr>
    <w:rPr>
      <w:rFonts w:ascii="Times New Roman" w:hAnsi="Times New Roman" w:cs="Times New Roman"/>
      <w:color w:val="171717" w:themeColor="background2" w:themeShade="1A"/>
      <w:sz w:val="24"/>
      <w:szCs w:val="24"/>
    </w:rPr>
  </w:style>
  <w:style w:type="character" w:styleId="946" w:customStyle="1">
    <w:name w:val="Цитата 2 Знак1"/>
    <w:basedOn w:val="912"/>
    <w:uiPriority w:val="29"/>
    <w:rPr>
      <w:i/>
      <w:iCs/>
      <w:color w:val="404040" w:themeColor="text1" w:themeTint="BF"/>
    </w:rPr>
  </w:style>
  <w:style w:type="paragraph" w:styleId="947" w:customStyle="1">
    <w:name w:val="Endnote"/>
    <w:pPr>
      <w:ind w:firstLine="851"/>
      <w:jc w:val="both"/>
      <w:spacing w:line="264" w:lineRule="auto"/>
    </w:pPr>
    <w:rPr>
      <w:rFonts w:ascii="XO Thames" w:hAnsi="XO Thames" w:eastAsia="Times New Roman" w:cs="Times New Roman"/>
      <w:color w:val="000000"/>
      <w:szCs w:val="20"/>
      <w:lang w:eastAsia="ru-RU"/>
    </w:rPr>
  </w:style>
  <w:style w:type="paragraph" w:styleId="948" w:customStyle="1">
    <w:name w:val="docdata"/>
    <w:basedOn w:val="9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9" w:customStyle="1">
    <w:name w:val="2329"/>
    <w:basedOn w:val="912"/>
  </w:style>
  <w:style w:type="paragraph" w:styleId="950" w:customStyle="1">
    <w:name w:val="Заголовок 3"/>
    <w:semiHidden/>
    <w:unhideWhenUsed/>
    <w:qFormat/>
    <w:p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Calibri Light" w:hAnsi="Calibri Light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Table Heading"/>
    <w:basedOn w:val="952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empora LGC Uni" w:hAnsi="Tempora LGC Uni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Table Contents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empora LGC Uni" w:hAnsi="Tempora LGC Un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minfin.kam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44361-9C9B-480A-B896-3A05D5EE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ponomarevaaa</cp:lastModifiedBy>
  <cp:revision>739</cp:revision>
  <dcterms:created xsi:type="dcterms:W3CDTF">2023-07-23T23:09:00Z</dcterms:created>
  <dcterms:modified xsi:type="dcterms:W3CDTF">2026-06-03T03:24:15Z</dcterms:modified>
</cp:coreProperties>
</file>