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" y="0"/>
                    <wp:lineTo x="-14" y="20874"/>
                    <wp:lineTo x="20954" y="20874"/>
                    <wp:lineTo x="20954" y="0"/>
                    <wp:lineTo x="-14" y="0"/>
                  </wp:wrapPolygon>
                </wp:wrapTight>
                <wp:docPr id="1" name="Рисунок 1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64 0 -64 96639 97009 96639 97009 0 -64 0" stroked="false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jc w:val="center"/>
        <w:spacing w:before="0"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pStyle w:val="872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pStyle w:val="872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pStyle w:val="872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ЛЕСНОГО И ОХОТНИЧЬЕГО ХОЗЯЙСТВА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2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2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72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872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2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W w:w="4253" w:type="dxa"/>
            <w:textDirection w:val="lrTb"/>
            <w:noWrap w:val="false"/>
          </w:tcPr>
          <w:p>
            <w:pPr>
              <w:pStyle w:val="872"/>
              <w:ind w:left="142" w:hanging="142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872"/>
              <w:jc w:val="center"/>
              <w:spacing w:before="0"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872"/>
              <w:jc w:val="both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91"/>
        <w:tblW w:w="963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pStyle w:val="872"/>
              <w:ind w:left="30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Об установлении П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еречня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 должностных лиц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ru-RU"/>
              </w:rPr>
            </w:r>
          </w:p>
          <w:p>
            <w:pPr>
              <w:ind w:left="30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Министерства лесного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ru-RU"/>
              </w:rPr>
            </w:r>
            <w:r/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и охотничьего хозяйства Камчатского края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уполномоченных составлять протоколы об административных правонарушениях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в рамках осуществления федерального государственного контроля (надзора) в области охраны, воспроизводства и использования объектов животного мира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ru-RU"/>
              </w:rPr>
            </w:r>
          </w:p>
          <w:p>
            <w:pPr>
              <w:ind w:left="30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и среды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ru-RU"/>
              </w:rPr>
            </w:r>
            <w:r/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lang w:val="ru-RU"/>
              </w:rPr>
              <w:t xml:space="preserve">их обитания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ru-RU"/>
              </w:rPr>
            </w:r>
            <w:r/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ru-RU"/>
              </w:rPr>
            </w:r>
          </w:p>
        </w:tc>
      </w:tr>
    </w:tbl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соответствии с пунктом 4 статьи 28.3 Кодекса Российской Федерации                 об административных правонарушениях,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Федеральным законом от 24.04.1995         № 52-ФЗ «О животном мире»,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30.06.2021 № 1094 «О федеральном государственном контроле (надзоре)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области охраны, воспроизводства и использования объектов животного мира и среды их обитания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Положением о Министерстве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лесного     и охотничьего хозяйства Камчатского края, утвержденным постановлением Правительства  Камчатского края от 14.05.2024 № 223-П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72"/>
        <w:ind w:firstLine="709"/>
        <w:jc w:val="both"/>
        <w:spacing w:before="0"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Установить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должностных лиц Министерства лесного                и охотничьего хозяйства Камчатского края, уполномоченных составлять протоколы об административных правонарушениях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рамках осуществления федерального государственного контроля (надзора) в области охраны, воспроизводства и использования объектов животного мира и среды                  их обитания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гласно приложению к настоящему приказу.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ризнать утратившим силу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риказ Министерства лесного                       и охотничьего хозяйства Камчатского края от 01.08.2024 № 25-Н                    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установлении Перечней должностных лиц Министер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ства лесного                  и охотничьего хозяйства Камчатского края и краевого государственного бюджетного учреждения «Служба по охране животного мира                                 и государственных природных заказников Камчатского края», уполномоченн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ых составлять протоколы об административных правонарушениях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Настоящей приказ вступает в силу после дня его официального опубликования.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976"/>
        <w:gridCol w:w="4252"/>
        <w:gridCol w:w="2411"/>
      </w:tblGrid>
      <w:tr>
        <w:tblPrEx/>
        <w:trPr>
          <w:trHeight w:val="2220"/>
        </w:trPr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pStyle w:val="872"/>
              <w:ind w:right="27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2"/>
              <w:ind w:left="30" w:right="27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pStyle w:val="872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2411" w:type="dxa"/>
            <w:textDirection w:val="lrTb"/>
            <w:noWrap w:val="false"/>
          </w:tcPr>
          <w:p>
            <w:pPr>
              <w:pStyle w:val="872"/>
              <w:jc w:val="right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В.М. Пищальченко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872"/>
      </w:pPr>
      <w:r>
        <w:br w:type="page" w:clear="all"/>
      </w:r>
      <w:r/>
    </w:p>
    <w:p>
      <w:pPr>
        <w:pStyle w:val="872"/>
        <w:ind w:left="5102" w:right="-2" w:firstLine="0"/>
        <w:jc w:val="both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2" w:right="-2" w:firstLine="0"/>
        <w:jc w:val="both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 приказу Министерства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ind w:left="5103" w:right="-2"/>
        <w:jc w:val="both"/>
        <w:spacing w:before="0"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лесного и охотничьего хозяйства 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91"/>
        <w:tblW w:w="4524" w:type="dxa"/>
        <w:tblInd w:w="500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8"/>
        <w:gridCol w:w="1869"/>
        <w:gridCol w:w="487"/>
        <w:gridCol w:w="170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" w:type="dxa"/>
            <w:textDirection w:val="lrTb"/>
            <w:noWrap w:val="false"/>
          </w:tcPr>
          <w:p>
            <w:pPr>
              <w:pStyle w:val="872"/>
              <w:ind w:left="-65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pStyle w:val="872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ru-RU" w:eastAsia="en-US" w:bidi="ar-SA"/>
              </w:rPr>
              <w:t xml:space="preserve">[</w:t>
            </w: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en-US" w:eastAsia="en-US" w:bidi="ar-SA"/>
              </w:rPr>
              <w:t xml:space="preserve">R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en-US" w:eastAsia="en-US" w:bidi="ar-SA"/>
              </w:rPr>
              <w:t xml:space="preserve">EGDATESTAMP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ru-RU" w:eastAsia="en-US" w:bidi="ar-SA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872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72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ru-RU" w:eastAsia="en-US" w:bidi="ar-SA"/>
              </w:rPr>
              <w:t xml:space="preserve">[R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ru-RU" w:eastAsia="en-US" w:bidi="ar-SA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должностных лиц Министерства лесного и охотничьего хозяйства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Камчатского края, уполномоченных составлять протоколы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</w:t>
      </w:r>
      <w:r>
        <w:rPr>
          <w:rFonts w:ascii="Times New Roman" w:hAnsi="Times New Roman" w:cs="Times New Roman"/>
          <w:sz w:val="28"/>
          <w:szCs w:val="28"/>
        </w:rPr>
        <w:t xml:space="preserve">в рамках осуществления федерального государственного контроля (надзора) в области охраны, воспроизводства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 использования объектов животного мира и среды их обитания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23.26, частью 1, пунктом 34 части 2, абзацами 2 и 3 части 3 статьи 28.3, частью 5 статьи 32.2 Кодекса Российской Федерации об административных правонарушениях протоколы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 административных правонарушениях, предусмотренных частью 2 статьи 7.2 (об уничтожении или о повреждении знаков, устанавливаемых пользователями животным миром, уполномоченными государственными органами по охране, контролю и регулированию использования объ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ктов животного мира и среды их обитания, зданий и других сооружений, принадлежащих указанным пользователям и органам, за исключением административных правонарушений, совершенных на территориях особо охраняемых природных территорий федерального значения), с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атьей 7.11 (за исключением административных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правонарушений, совершенных на территориях особо охраняемых природных территорий федерального значения), статьей 8.29 (в пределах своих полномочий), статьей 8.33 (за исключением административных правонарушений, совершенных на территориях особо охраняемых п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иродных территорий федерального значения), статьей 8.34 (в части административных правонарушений, совершенных с биологическими коллекциями, содержащими объекты животного мира, за исключением административных правонарушений, совершенных на территориях особо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охраняемых природных территорий федерального значения), статьей 8.35 (за исключением административных правонарушений, совершенных на территориях особо охраняемых природных территорий федерального значения), статьей 8.36 (за исключением административных пра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онарушений, совершенных на территориях особо охраняемых природных территорий федерального значения), частями 1, 1.1, 1.2, 1.3, 3 статьи 8.37 (за исключением административных правонарушений, совершенных на территориях особо охраняемых природных территорий 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значения), статьями 17.7, 17.9, частью 1 статьи 19.4, статьей 19.4.1, частью 1 статьи 19.5, </w:t>
      </w:r>
      <w:r>
        <w:rPr>
          <w:rFonts w:ascii="Times New Roman" w:hAnsi="Times New Roman" w:cs="Times New Roman"/>
          <w:sz w:val="28"/>
          <w:szCs w:val="28"/>
        </w:rPr>
        <w:t xml:space="preserve">частью 20.1 статьи 19.5, </w:t>
      </w:r>
      <w:r>
        <w:rPr>
          <w:rFonts w:ascii="Times New Roman" w:hAnsi="Times New Roman" w:cs="Times New Roman"/>
          <w:sz w:val="28"/>
          <w:szCs w:val="28"/>
        </w:rPr>
        <w:t xml:space="preserve">статьями 19.6, 19.7, частью 1 статьи 19.26, частью 1 статьи 20.25 Кодекса Российской Федерации    об административных правонарушениях </w:t>
      </w:r>
      <w:r>
        <w:rPr>
          <w:rFonts w:ascii="Times New Roman" w:hAnsi="Times New Roman" w:cs="Times New Roman"/>
          <w:sz w:val="28"/>
          <w:szCs w:val="28"/>
        </w:rPr>
        <w:t xml:space="preserve">вправе составлять должностные лица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лесного и охотничьего хозяйства Камчатского края, являющиеся государственными гражданскими служащими категорий «руководители»            и «специалисты»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1) Министр;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2) начальник управления федерального государственного контроля (надзора);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3) в отделе федерального государственного охотничьего контроля (надзора):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а) начальник отдела;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б) референт;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в) консультант;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bottom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г) главный специалист-эксперт.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856" w:bottom="1129" w:left="1418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egoe UI">
    <w:panose1 w:val="020B0502040504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97">
    <w:name w:val="No List"/>
    <w:uiPriority w:val="99"/>
    <w:semiHidden/>
    <w:unhideWhenUsed/>
  </w:style>
  <w:style w:type="paragraph" w:styleId="698">
    <w:name w:val="Heading 1"/>
    <w:basedOn w:val="872"/>
    <w:next w:val="872"/>
    <w:link w:val="699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9">
    <w:name w:val="Heading 1 Char"/>
    <w:basedOn w:val="873"/>
    <w:link w:val="698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00">
    <w:name w:val="Heading 2"/>
    <w:basedOn w:val="872"/>
    <w:next w:val="872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01">
    <w:name w:val="Heading 2 Char"/>
    <w:basedOn w:val="873"/>
    <w:link w:val="700"/>
    <w:uiPriority w:val="9"/>
    <w:rPr>
      <w:rFonts w:ascii="Liberation Sans" w:hAnsi="Liberation Sans" w:eastAsia="Liberation Sans" w:cs="Liberation Sans"/>
      <w:sz w:val="34"/>
    </w:rPr>
  </w:style>
  <w:style w:type="paragraph" w:styleId="702">
    <w:name w:val="Heading 3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3">
    <w:name w:val="Heading 3 Char"/>
    <w:basedOn w:val="873"/>
    <w:link w:val="702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4">
    <w:name w:val="Heading 4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5">
    <w:name w:val="Heading 4 Char"/>
    <w:basedOn w:val="873"/>
    <w:link w:val="70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6">
    <w:name w:val="Heading 5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7">
    <w:name w:val="Heading 5 Char"/>
    <w:basedOn w:val="873"/>
    <w:link w:val="70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8">
    <w:name w:val="Heading 6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9">
    <w:name w:val="Heading 6 Char"/>
    <w:basedOn w:val="873"/>
    <w:link w:val="70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0">
    <w:name w:val="Heading 7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1">
    <w:name w:val="Heading 7 Char"/>
    <w:basedOn w:val="873"/>
    <w:link w:val="71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2">
    <w:name w:val="Heading 8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3">
    <w:name w:val="Heading 8 Char"/>
    <w:basedOn w:val="873"/>
    <w:link w:val="71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4">
    <w:name w:val="Heading 9"/>
    <w:basedOn w:val="872"/>
    <w:next w:val="872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5">
    <w:name w:val="Heading 9 Char"/>
    <w:basedOn w:val="873"/>
    <w:link w:val="71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6">
    <w:name w:val="List Paragraph"/>
    <w:basedOn w:val="872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2"/>
    <w:next w:val="872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3"/>
    <w:link w:val="718"/>
    <w:uiPriority w:val="10"/>
    <w:rPr>
      <w:sz w:val="48"/>
      <w:szCs w:val="48"/>
    </w:rPr>
  </w:style>
  <w:style w:type="paragraph" w:styleId="720">
    <w:name w:val="Subtitle"/>
    <w:basedOn w:val="872"/>
    <w:next w:val="872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3"/>
    <w:link w:val="720"/>
    <w:uiPriority w:val="11"/>
    <w:rPr>
      <w:sz w:val="24"/>
      <w:szCs w:val="24"/>
    </w:rPr>
  </w:style>
  <w:style w:type="paragraph" w:styleId="722">
    <w:name w:val="Quote"/>
    <w:basedOn w:val="872"/>
    <w:next w:val="872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2"/>
    <w:next w:val="872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3"/>
    <w:link w:val="888"/>
    <w:uiPriority w:val="99"/>
  </w:style>
  <w:style w:type="character" w:styleId="727">
    <w:name w:val="Footer Char"/>
    <w:basedOn w:val="873"/>
    <w:link w:val="886"/>
    <w:uiPriority w:val="99"/>
  </w:style>
  <w:style w:type="character" w:styleId="728">
    <w:name w:val="Caption Char"/>
    <w:basedOn w:val="873"/>
    <w:link w:val="882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 Light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1">
    <w:name w:val="Plain Table 2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2">
    <w:name w:val="Plain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6">
    <w:name w:val="Grid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7">
    <w:name w:val="Grid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5 Dark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4">
    <w:name w:val="List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5">
    <w:name w:val="List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6">
    <w:name w:val="List Table 5 Dark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7">
    <w:name w:val="List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8">
    <w:name w:val="List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9">
    <w:name w:val="List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28">
    <w:name w:val="List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32">
    <w:name w:val="List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33">
    <w:name w:val="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Bordered &amp; 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Bordered &amp; 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3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3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73" w:default="1">
    <w:name w:val="Default Paragraph Font"/>
    <w:uiPriority w:val="1"/>
    <w:semiHidden/>
    <w:unhideWhenUsed/>
    <w:qFormat/>
  </w:style>
  <w:style w:type="character" w:styleId="874" w:customStyle="1">
    <w:name w:val="Текст Знак"/>
    <w:basedOn w:val="873"/>
    <w:link w:val="884"/>
    <w:uiPriority w:val="99"/>
    <w:semiHidden/>
    <w:qFormat/>
    <w:rPr>
      <w:rFonts w:ascii="Calibri" w:hAnsi="Calibri" w:eastAsia="Calibri" w:cs="Times New Roman"/>
      <w:szCs w:val="21"/>
    </w:rPr>
  </w:style>
  <w:style w:type="character" w:styleId="875" w:customStyle="1">
    <w:name w:val="Нижний колонтитул Знак"/>
    <w:basedOn w:val="873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76" w:customStyle="1">
    <w:name w:val="Текст выноски Знак"/>
    <w:basedOn w:val="873"/>
    <w:link w:val="887"/>
    <w:uiPriority w:val="99"/>
    <w:semiHidden/>
    <w:qFormat/>
    <w:rPr>
      <w:rFonts w:ascii="Segoe UI" w:hAnsi="Segoe UI" w:cs="Segoe UI"/>
      <w:sz w:val="18"/>
      <w:szCs w:val="18"/>
    </w:rPr>
  </w:style>
  <w:style w:type="character" w:styleId="877" w:customStyle="1">
    <w:name w:val="Верхний колонтитул Знак"/>
    <w:basedOn w:val="873"/>
    <w:uiPriority w:val="99"/>
    <w:qFormat/>
  </w:style>
  <w:style w:type="character" w:styleId="878">
    <w:name w:val="Internet Link"/>
    <w:basedOn w:val="873"/>
    <w:uiPriority w:val="99"/>
    <w:unhideWhenUsed/>
    <w:qFormat/>
    <w:rPr>
      <w:color w:val="0563c1" w:themeColor="hyperlink"/>
      <w:u w:val="single"/>
    </w:rPr>
  </w:style>
  <w:style w:type="paragraph" w:styleId="879">
    <w:name w:val="Заголовок"/>
    <w:basedOn w:val="872"/>
    <w:next w:val="88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80">
    <w:name w:val="Body Text"/>
    <w:basedOn w:val="872"/>
    <w:pPr>
      <w:spacing w:before="0" w:after="140" w:line="276" w:lineRule="auto"/>
    </w:pPr>
  </w:style>
  <w:style w:type="paragraph" w:styleId="881">
    <w:name w:val="List"/>
    <w:basedOn w:val="880"/>
    <w:rPr>
      <w:rFonts w:cs="Arial"/>
    </w:rPr>
  </w:style>
  <w:style w:type="paragraph" w:styleId="882">
    <w:name w:val="Caption"/>
    <w:basedOn w:val="872"/>
    <w:link w:val="728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3">
    <w:name w:val="Указатель"/>
    <w:basedOn w:val="872"/>
    <w:qFormat/>
    <w:pPr>
      <w:suppressLineNumbers/>
    </w:pPr>
    <w:rPr>
      <w:rFonts w:cs="Arial"/>
    </w:rPr>
  </w:style>
  <w:style w:type="paragraph" w:styleId="884">
    <w:name w:val="Plain Text"/>
    <w:basedOn w:val="872"/>
    <w:link w:val="874"/>
    <w:uiPriority w:val="99"/>
    <w:semiHidden/>
    <w:unhideWhenUsed/>
    <w:qFormat/>
    <w:pPr>
      <w:spacing w:before="0" w:after="0" w:line="240" w:lineRule="auto"/>
    </w:pPr>
    <w:rPr>
      <w:rFonts w:ascii="Calibri" w:hAnsi="Calibri" w:eastAsia="Calibri" w:cs="Times New Roman"/>
      <w:szCs w:val="21"/>
    </w:rPr>
  </w:style>
  <w:style w:type="paragraph" w:styleId="885">
    <w:name w:val="Header and Footer"/>
    <w:basedOn w:val="872"/>
    <w:qFormat/>
  </w:style>
  <w:style w:type="paragraph" w:styleId="886">
    <w:name w:val="Footer"/>
    <w:basedOn w:val="872"/>
    <w:link w:val="875"/>
    <w:uiPriority w:val="99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7">
    <w:name w:val="Balloon Text"/>
    <w:basedOn w:val="872"/>
    <w:link w:val="876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888">
    <w:name w:val="Header"/>
    <w:basedOn w:val="872"/>
    <w:link w:val="877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numbering" w:styleId="889" w:default="1">
    <w:name w:val="Без списка"/>
    <w:uiPriority w:val="99"/>
    <w:semiHidden/>
    <w:unhideWhenUsed/>
    <w:qFormat/>
  </w:style>
  <w:style w:type="table" w:styleId="89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91">
    <w:name w:val="Table Grid"/>
    <w:basedOn w:val="8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2" w:customStyle="1">
    <w:name w:val="Сетка таблицы1"/>
    <w:basedOn w:val="890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3" w:customStyle="1">
    <w:name w:val="Сетка таблицы2"/>
    <w:basedOn w:val="890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7A903-97A3-4CD3-BA14-96A6E912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dc:description/>
  <dc:language>ru-RU</dc:language>
  <cp:lastModifiedBy>prostomolotovaoa</cp:lastModifiedBy>
  <cp:revision>10</cp:revision>
  <dcterms:created xsi:type="dcterms:W3CDTF">2024-04-24T00:34:00Z</dcterms:created>
  <dcterms:modified xsi:type="dcterms:W3CDTF">2026-05-29T02:36:40Z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