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8D9" w:rsidRDefault="0093231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8D9" w:rsidRDefault="002B78D9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2B78D9" w:rsidRDefault="002B78D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2B78D9" w:rsidRDefault="002B78D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2B78D9" w:rsidRDefault="0093231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2B78D9" w:rsidRDefault="002B78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B78D9" w:rsidRDefault="009323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2B78D9" w:rsidRDefault="009323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2B78D9" w:rsidRDefault="002B78D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2B78D9">
        <w:trPr>
          <w:trHeight w:val="234"/>
        </w:trPr>
        <w:tc>
          <w:tcPr>
            <w:tcW w:w="4253" w:type="dxa"/>
          </w:tcPr>
          <w:p w:rsidR="002B78D9" w:rsidRDefault="0093231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2B78D9">
        <w:trPr>
          <w:trHeight w:val="247"/>
        </w:trPr>
        <w:tc>
          <w:tcPr>
            <w:tcW w:w="4253" w:type="dxa"/>
          </w:tcPr>
          <w:p w:rsidR="002B78D9" w:rsidRDefault="0093231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2B78D9">
        <w:trPr>
          <w:trHeight w:val="80"/>
        </w:trPr>
        <w:tc>
          <w:tcPr>
            <w:tcW w:w="4253" w:type="dxa"/>
          </w:tcPr>
          <w:p w:rsidR="002B78D9" w:rsidRDefault="002B78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B78D9" w:rsidRDefault="009323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Камчатского края от 16.11.2023 № 568-П «Об утверждении Положения о системе управления государственными программами Камчатского края»</w:t>
      </w:r>
    </w:p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Правительства Камчатского края от 16.11.2023 № 568-П «Об утверждении Положения о системе управления государственными программами Камчатского края» следующие изменения: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пункте 4 части 66 цифру «10» заменить цифрой «15»;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дополнить частью 66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1" w:name="_Hlk230762824"/>
      <w:r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 Направление ответственным исполнителем и (или) соисполнителем государственной программы (комплексной программы) отчетов о ходе реализации структурных элементов государственной программы (комплексной программы), отчета о ходе реализации государственной программы (комплексной программы) на согласование и утверждение в Министерство экономического развития Камчатского края и Министерство финансов Камчатского края осуществляется не позднее сроков, указанных в пунктах 3 и 4 части 66, абзаце первом части 66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настоящего Положения.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Рассмотрение, согласование и утверждение Министерством экономического развития Камчатского края и Министерством финансов Камчатского края ежемесячных, ежеквартальных и годовых отчетов осуществляется: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по паспортам структурных элементов государственной программы (комплексной программы), за исключением региональных проектов, указанных в подпункте «а» пункта 2 части 13 настоящего Положения, – не позднее </w:t>
      </w:r>
      <w:r w:rsidR="002F147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 рабочего дня после даты поступления отчета на согласование;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 по паспорту государственной программы (комплексной программы) –не позднее </w:t>
      </w:r>
      <w:r w:rsidR="002F147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рабочего дня после даты поступления отчета на согласование.»;</w:t>
      </w:r>
    </w:p>
    <w:bookmarkEnd w:id="1"/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приложении к Положению о системе управления государственными программами Камчатского края:</w:t>
      </w:r>
    </w:p>
    <w:p w:rsidR="002F1472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2</w:t>
      </w:r>
      <w:r w:rsidR="002F1472">
        <w:rPr>
          <w:rFonts w:ascii="Times New Roman" w:hAnsi="Times New Roman"/>
          <w:sz w:val="28"/>
        </w:rPr>
        <w:t>:</w:t>
      </w: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формулу изложить в следующей редакции:</w:t>
      </w:r>
    </w:p>
    <w:p w:rsidR="002B78D9" w:rsidRDefault="0093231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2" w:name="_Hlk230763025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Эф</m:t>
            </m:r>
          </m:e>
          <m:sub>
            <m:r>
              <w:rPr>
                <w:rFonts w:ascii="Cambria Math" w:hAnsi="Cambria Math"/>
              </w:rPr>
              <m:t>гп</m:t>
            </m:r>
          </m:sub>
        </m:sSub>
        <m:r>
          <w:rPr>
            <w:rFonts w:ascii="Cambria Math" w:hAnsi="Cambria Math"/>
          </w:rPr>
          <m:t>=0,45*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УД</m:t>
            </m:r>
          </m:e>
          <m:sub>
            <m:r>
              <w:rPr>
                <w:rFonts w:ascii="Cambria Math" w:hAnsi="Cambria Math"/>
              </w:rPr>
              <m:t>ц</m:t>
            </m:r>
          </m:sub>
        </m:sSub>
        <m:r>
          <w:rPr>
            <w:rFonts w:ascii="Cambria Math" w:hAnsi="Cambria Math"/>
          </w:rPr>
          <m:t>+0,45*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УД</m:t>
            </m:r>
          </m:e>
          <m:sub>
            <m:r>
              <w:rPr>
                <w:rFonts w:ascii="Cambria Math" w:hAnsi="Cambria Math"/>
              </w:rPr>
              <m:t>сэ</m:t>
            </m:r>
          </m:sub>
        </m:sSub>
        <m:r>
          <w:rPr>
            <w:rFonts w:ascii="Cambria Math" w:hAnsi="Cambria Math"/>
          </w:rPr>
          <m:t>+0,1*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У</m:t>
            </m:r>
          </m:e>
          <m:sub>
            <m:r>
              <w:rPr>
                <w:rFonts w:ascii="Cambria Math" w:hAnsi="Cambria Math"/>
              </w:rPr>
              <m:t>ки</m:t>
            </m:r>
          </m:sub>
        </m:sSub>
      </m:oMath>
      <w:bookmarkEnd w:id="2"/>
      <w:r>
        <w:rPr>
          <w:rFonts w:ascii="Times New Roman" w:hAnsi="Times New Roman"/>
          <w:sz w:val="28"/>
        </w:rPr>
        <w:t>»;</w:t>
      </w:r>
    </w:p>
    <w:p w:rsidR="00474643" w:rsidRDefault="00474643" w:rsidP="004746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исключить слова «</w:t>
      </w:r>
      <w:proofErr w:type="spellStart"/>
      <w:r w:rsidRPr="00474643">
        <w:rPr>
          <w:rFonts w:ascii="Times New Roman" w:hAnsi="Times New Roman"/>
          <w:sz w:val="28"/>
        </w:rPr>
        <w:t>У</w:t>
      </w:r>
      <w:r w:rsidRPr="00474643">
        <w:rPr>
          <w:rFonts w:ascii="Times New Roman" w:hAnsi="Times New Roman"/>
          <w:sz w:val="28"/>
          <w:vertAlign w:val="subscript"/>
        </w:rPr>
        <w:t>ку</w:t>
      </w:r>
      <w:proofErr w:type="spellEnd"/>
      <w:r w:rsidRPr="00474643">
        <w:rPr>
          <w:rFonts w:ascii="Times New Roman" w:hAnsi="Times New Roman"/>
          <w:sz w:val="28"/>
        </w:rPr>
        <w:t xml:space="preserve"> - уровень качества управления государственной программой (комплексной программой)</w:t>
      </w:r>
      <w:r>
        <w:rPr>
          <w:rFonts w:ascii="Times New Roman" w:hAnsi="Times New Roman"/>
          <w:sz w:val="28"/>
        </w:rPr>
        <w:t>»;</w:t>
      </w:r>
    </w:p>
    <w:p w:rsidR="002F1472" w:rsidRDefault="002F1472" w:rsidP="009D27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F1472" w:rsidRDefault="002F1472" w:rsidP="009D27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 w:rsidR="00327D8A">
        <w:rPr>
          <w:rFonts w:ascii="Times New Roman" w:hAnsi="Times New Roman"/>
          <w:sz w:val="28"/>
        </w:rPr>
        <w:t xml:space="preserve">) </w:t>
      </w:r>
      <w:r w:rsidR="009D272E">
        <w:rPr>
          <w:rFonts w:ascii="Times New Roman" w:hAnsi="Times New Roman"/>
          <w:sz w:val="28"/>
        </w:rPr>
        <w:t>в части 3</w:t>
      </w:r>
      <w:r>
        <w:rPr>
          <w:rFonts w:ascii="Times New Roman" w:hAnsi="Times New Roman"/>
          <w:sz w:val="28"/>
        </w:rPr>
        <w:t>:</w:t>
      </w:r>
    </w:p>
    <w:p w:rsidR="009D272E" w:rsidRDefault="009D272E" w:rsidP="009D27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формулу изложить в следующей редакции:</w:t>
      </w:r>
    </w:p>
    <w:p w:rsidR="009D272E" w:rsidRDefault="009D272E" w:rsidP="009D272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</w:t>
      </w:r>
      <w:bookmarkStart w:id="3" w:name="_Hlk230763104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УД</m:t>
            </m:r>
          </m:e>
          <m:sub>
            <m:r>
              <w:rPr>
                <w:rFonts w:ascii="Cambria Math" w:hAnsi="Cambria Math"/>
              </w:rPr>
              <m:t>ц</m:t>
            </m:r>
          </m:sub>
        </m:sSub>
        <m:r>
          <w:rPr>
            <w:rFonts w:ascii="Cambria Math" w:hAnsi="Cambria Math"/>
          </w:rPr>
          <m:t>=0,8*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покгп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покгп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nary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покгп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+0,2*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покзнч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покзнч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nary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покзнч</m:t>
                    </m:r>
                  </m:sub>
                </m:sSub>
              </m:den>
            </m:f>
          </m:e>
        </m:d>
      </m:oMath>
      <w:bookmarkEnd w:id="3"/>
      <w:r>
        <w:rPr>
          <w:rFonts w:ascii="Times New Roman" w:hAnsi="Times New Roman"/>
        </w:rPr>
        <w:t>»</w:t>
      </w:r>
      <w:r w:rsidR="0056454C">
        <w:rPr>
          <w:rFonts w:ascii="Times New Roman" w:hAnsi="Times New Roman"/>
        </w:rPr>
        <w:t>;</w:t>
      </w:r>
    </w:p>
    <w:p w:rsidR="009D272E" w:rsidRDefault="0056454C" w:rsidP="003A62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слов «</w:t>
      </w:r>
      <w:r w:rsidRPr="0056454C">
        <w:rPr>
          <w:rFonts w:ascii="Times New Roman" w:hAnsi="Times New Roman"/>
          <w:sz w:val="28"/>
        </w:rPr>
        <w:t>(комплексной программы)</w:t>
      </w:r>
      <w:r>
        <w:rPr>
          <w:rFonts w:ascii="Times New Roman" w:hAnsi="Times New Roman"/>
          <w:sz w:val="28"/>
        </w:rPr>
        <w:t xml:space="preserve">» дополнить словами </w:t>
      </w:r>
      <w:r>
        <w:rPr>
          <w:rFonts w:ascii="Times New Roman" w:hAnsi="Times New Roman"/>
          <w:sz w:val="28"/>
        </w:rPr>
        <w:br/>
        <w:t>«</w:t>
      </w:r>
      <w:bookmarkStart w:id="4" w:name="_Hlk230763124"/>
      <w:r>
        <w:rPr>
          <w:rFonts w:ascii="Times New Roman" w:hAnsi="Times New Roman"/>
          <w:sz w:val="28"/>
        </w:rPr>
        <w:t>, не относящиеся к значимым показателям</w:t>
      </w:r>
      <w:bookmarkEnd w:id="4"/>
      <w:r>
        <w:rPr>
          <w:rFonts w:ascii="Times New Roman" w:hAnsi="Times New Roman"/>
          <w:sz w:val="28"/>
        </w:rPr>
        <w:t>»;</w:t>
      </w:r>
    </w:p>
    <w:p w:rsidR="0056454C" w:rsidRDefault="00EF20ED" w:rsidP="003A62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 w:rsidR="00DB4806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56454C">
        <w:rPr>
          <w:rFonts w:ascii="Times New Roman" w:hAnsi="Times New Roman"/>
          <w:sz w:val="28"/>
          <w:szCs w:val="28"/>
        </w:rPr>
        <w:t>:</w:t>
      </w:r>
    </w:p>
    <w:p w:rsidR="00871BA9" w:rsidRDefault="00871BA9" w:rsidP="003A62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5" w:name="_Hlk230763167"/>
      <w:r>
        <w:rPr>
          <w:rFonts w:ascii="Times New Roman" w:hAnsi="Times New Roman"/>
          <w:sz w:val="28"/>
          <w:szCs w:val="28"/>
        </w:rPr>
        <w:t>Значимы</w:t>
      </w:r>
      <w:r w:rsidR="002F147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показател</w:t>
      </w:r>
      <w:r w:rsidR="002F1472">
        <w:rPr>
          <w:rFonts w:ascii="Times New Roman" w:hAnsi="Times New Roman"/>
          <w:sz w:val="28"/>
          <w:szCs w:val="28"/>
        </w:rPr>
        <w:t>ь – это</w:t>
      </w:r>
      <w:r>
        <w:rPr>
          <w:rFonts w:ascii="Times New Roman" w:hAnsi="Times New Roman"/>
          <w:sz w:val="28"/>
          <w:szCs w:val="28"/>
        </w:rPr>
        <w:t xml:space="preserve"> показатель государственной программы Российской Федерации, показатель утвержден </w:t>
      </w:r>
      <w:r w:rsidRPr="003A621C">
        <w:rPr>
          <w:rFonts w:ascii="Times New Roman" w:hAnsi="Times New Roman"/>
          <w:sz w:val="28"/>
          <w:szCs w:val="28"/>
        </w:rPr>
        <w:t xml:space="preserve">Указом Президента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3A621C">
        <w:rPr>
          <w:rFonts w:ascii="Times New Roman" w:hAnsi="Times New Roman"/>
          <w:sz w:val="28"/>
          <w:szCs w:val="28"/>
        </w:rPr>
        <w:t xml:space="preserve"> от 28</w:t>
      </w:r>
      <w:r>
        <w:rPr>
          <w:rFonts w:ascii="Times New Roman" w:hAnsi="Times New Roman"/>
          <w:sz w:val="28"/>
          <w:szCs w:val="28"/>
        </w:rPr>
        <w:t>.11.</w:t>
      </w:r>
      <w:r w:rsidRPr="003A621C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21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21C">
        <w:rPr>
          <w:rFonts w:ascii="Times New Roman" w:hAnsi="Times New Roman"/>
          <w:sz w:val="28"/>
          <w:szCs w:val="28"/>
        </w:rPr>
        <w:t>1014</w:t>
      </w:r>
      <w:r>
        <w:rPr>
          <w:rFonts w:ascii="Times New Roman" w:hAnsi="Times New Roman"/>
          <w:sz w:val="28"/>
          <w:szCs w:val="28"/>
        </w:rPr>
        <w:t>, показатель национального или федерального проекта;»</w:t>
      </w:r>
    </w:p>
    <w:p w:rsidR="003A621C" w:rsidRDefault="00474643" w:rsidP="003A62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УД</w:t>
      </w:r>
      <w:r w:rsidRPr="00474643">
        <w:rPr>
          <w:rFonts w:ascii="Times New Roman" w:hAnsi="Times New Roman"/>
          <w:sz w:val="28"/>
          <w:szCs w:val="28"/>
          <w:vertAlign w:val="subscript"/>
        </w:rPr>
        <w:t>покзнч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474643">
        <w:rPr>
          <w:rFonts w:ascii="Times New Roman" w:hAnsi="Times New Roman"/>
          <w:sz w:val="28"/>
          <w:szCs w:val="28"/>
        </w:rPr>
        <w:t>уровень достижения i-</w:t>
      </w:r>
      <w:proofErr w:type="spellStart"/>
      <w:r w:rsidRPr="00474643">
        <w:rPr>
          <w:rFonts w:ascii="Times New Roman" w:hAnsi="Times New Roman"/>
          <w:sz w:val="28"/>
          <w:szCs w:val="28"/>
        </w:rPr>
        <w:t>го</w:t>
      </w:r>
      <w:proofErr w:type="spellEnd"/>
      <w:r w:rsidRPr="00474643">
        <w:rPr>
          <w:rFonts w:ascii="Times New Roman" w:hAnsi="Times New Roman"/>
          <w:sz w:val="28"/>
          <w:szCs w:val="28"/>
        </w:rPr>
        <w:t xml:space="preserve"> показателя паспорта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643">
        <w:rPr>
          <w:rFonts w:ascii="Times New Roman" w:hAnsi="Times New Roman"/>
          <w:sz w:val="28"/>
          <w:szCs w:val="28"/>
        </w:rPr>
        <w:t>(комплексной программы)</w:t>
      </w:r>
      <w:r>
        <w:rPr>
          <w:rFonts w:ascii="Times New Roman" w:hAnsi="Times New Roman"/>
          <w:sz w:val="28"/>
          <w:szCs w:val="28"/>
        </w:rPr>
        <w:t xml:space="preserve">, относящийся к </w:t>
      </w:r>
      <w:r w:rsidR="00871BA9">
        <w:rPr>
          <w:rFonts w:ascii="Times New Roman" w:hAnsi="Times New Roman"/>
          <w:sz w:val="28"/>
          <w:szCs w:val="28"/>
        </w:rPr>
        <w:t>значимым показателям</w:t>
      </w:r>
      <w:r w:rsidR="003A621C">
        <w:rPr>
          <w:rFonts w:ascii="Times New Roman" w:hAnsi="Times New Roman"/>
          <w:sz w:val="28"/>
          <w:szCs w:val="28"/>
        </w:rPr>
        <w:t>;</w:t>
      </w:r>
    </w:p>
    <w:p w:rsidR="002F1472" w:rsidRDefault="003A621C" w:rsidP="003A62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621C">
        <w:rPr>
          <w:rFonts w:ascii="Times New Roman" w:hAnsi="Times New Roman"/>
          <w:sz w:val="28"/>
          <w:szCs w:val="28"/>
        </w:rPr>
        <w:t>N</w:t>
      </w:r>
      <w:r w:rsidRPr="003A621C">
        <w:rPr>
          <w:rFonts w:ascii="Times New Roman" w:hAnsi="Times New Roman"/>
          <w:sz w:val="28"/>
          <w:szCs w:val="28"/>
          <w:vertAlign w:val="subscript"/>
        </w:rPr>
        <w:t>покзнч</w:t>
      </w:r>
      <w:proofErr w:type="spellEnd"/>
      <w:r w:rsidRPr="003A621C">
        <w:rPr>
          <w:rFonts w:ascii="Times New Roman" w:hAnsi="Times New Roman"/>
          <w:sz w:val="28"/>
          <w:szCs w:val="28"/>
        </w:rPr>
        <w:t xml:space="preserve"> - количество показателей в паспорте государственной программы (комплексной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21C">
        <w:rPr>
          <w:rFonts w:ascii="Times New Roman" w:hAnsi="Times New Roman"/>
          <w:sz w:val="28"/>
          <w:szCs w:val="28"/>
        </w:rPr>
        <w:t>программы)</w:t>
      </w:r>
      <w:r>
        <w:rPr>
          <w:rFonts w:ascii="Times New Roman" w:hAnsi="Times New Roman"/>
          <w:sz w:val="28"/>
          <w:szCs w:val="28"/>
        </w:rPr>
        <w:t xml:space="preserve">, относящийся к </w:t>
      </w:r>
      <w:r w:rsidR="00871BA9">
        <w:rPr>
          <w:rFonts w:ascii="Times New Roman" w:hAnsi="Times New Roman"/>
          <w:sz w:val="28"/>
          <w:szCs w:val="28"/>
        </w:rPr>
        <w:t>значимым показателям</w:t>
      </w:r>
      <w:r>
        <w:rPr>
          <w:rFonts w:ascii="Times New Roman" w:hAnsi="Times New Roman"/>
          <w:sz w:val="28"/>
          <w:szCs w:val="28"/>
        </w:rPr>
        <w:t>.</w:t>
      </w:r>
    </w:p>
    <w:p w:rsidR="002F1472" w:rsidRDefault="002F1472" w:rsidP="003A62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все показатели государственной программы относятся к значимым показателям, расчет производится по следующей формуле:</w:t>
      </w:r>
    </w:p>
    <w:p w:rsidR="0056454C" w:rsidRPr="00474643" w:rsidRDefault="002F1472" w:rsidP="002F147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УД</m:t>
            </m:r>
          </m:e>
          <m:sub>
            <m:r>
              <w:rPr>
                <w:rFonts w:ascii="Cambria Math" w:hAnsi="Cambria Math"/>
              </w:rPr>
              <m:t>ц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покзнч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покзнч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покзнч</m:t>
                </m:r>
              </m:sub>
            </m:sSub>
          </m:den>
        </m:f>
      </m:oMath>
      <w:r>
        <w:rPr>
          <w:rFonts w:ascii="Times New Roman" w:hAnsi="Times New Roman"/>
        </w:rPr>
        <w:t>.</w:t>
      </w:r>
      <w:bookmarkEnd w:id="5"/>
      <w:r w:rsidRPr="00EF20ED">
        <w:rPr>
          <w:rFonts w:ascii="Times New Roman" w:hAnsi="Times New Roman"/>
          <w:sz w:val="28"/>
          <w:szCs w:val="28"/>
        </w:rPr>
        <w:t>»</w:t>
      </w:r>
    </w:p>
    <w:p w:rsidR="002F1472" w:rsidRDefault="002F1472" w:rsidP="00327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27D8A">
        <w:rPr>
          <w:rFonts w:ascii="Times New Roman" w:hAnsi="Times New Roman"/>
          <w:sz w:val="28"/>
          <w:szCs w:val="28"/>
        </w:rPr>
        <w:t>) в части 4</w:t>
      </w:r>
      <w:r>
        <w:rPr>
          <w:rFonts w:ascii="Times New Roman" w:hAnsi="Times New Roman"/>
          <w:sz w:val="28"/>
          <w:szCs w:val="28"/>
        </w:rPr>
        <w:t>:</w:t>
      </w:r>
    </w:p>
    <w:p w:rsidR="009D272E" w:rsidRDefault="00327D8A" w:rsidP="00327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слов «</w:t>
      </w:r>
      <w:r w:rsidR="004764CD">
        <w:rPr>
          <w:rFonts w:ascii="Times New Roman" w:hAnsi="Times New Roman"/>
          <w:sz w:val="28"/>
          <w:szCs w:val="28"/>
        </w:rPr>
        <w:t>значение показателя</w:t>
      </w:r>
      <w:r>
        <w:rPr>
          <w:rFonts w:ascii="Times New Roman" w:hAnsi="Times New Roman"/>
          <w:sz w:val="28"/>
          <w:szCs w:val="28"/>
        </w:rPr>
        <w:t xml:space="preserve">» дополнить словами </w:t>
      </w:r>
      <w:bookmarkStart w:id="6" w:name="_Hlk230763234"/>
      <w:r>
        <w:rPr>
          <w:rFonts w:ascii="Times New Roman" w:hAnsi="Times New Roman"/>
          <w:sz w:val="28"/>
          <w:szCs w:val="28"/>
        </w:rPr>
        <w:t>«, в том числе значим</w:t>
      </w:r>
      <w:r w:rsidR="004764C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показател</w:t>
      </w:r>
      <w:r w:rsidR="004764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bookmarkEnd w:id="6"/>
      <w:r>
        <w:rPr>
          <w:rFonts w:ascii="Times New Roman" w:hAnsi="Times New Roman"/>
          <w:sz w:val="28"/>
          <w:szCs w:val="28"/>
        </w:rPr>
        <w:t>»;</w:t>
      </w:r>
    </w:p>
    <w:p w:rsidR="002F1472" w:rsidRDefault="002F147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635B5">
        <w:rPr>
          <w:rFonts w:ascii="Times New Roman" w:hAnsi="Times New Roman"/>
          <w:sz w:val="28"/>
          <w:szCs w:val="28"/>
        </w:rPr>
        <w:t>) в части 5</w:t>
      </w:r>
      <w:r>
        <w:rPr>
          <w:rFonts w:ascii="Times New Roman" w:hAnsi="Times New Roman"/>
          <w:sz w:val="28"/>
          <w:szCs w:val="28"/>
        </w:rPr>
        <w:t>:</w:t>
      </w:r>
    </w:p>
    <w:p w:rsidR="009635B5" w:rsidRDefault="009635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формулу изложить в следующей редакции:</w:t>
      </w:r>
    </w:p>
    <w:p w:rsidR="009635B5" w:rsidRDefault="009D272E" w:rsidP="009D272E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bookmarkStart w:id="7" w:name="_Hlk230763461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УД</m:t>
            </m:r>
          </m:e>
          <m:sub>
            <m:r>
              <w:rPr>
                <w:rFonts w:ascii="Cambria Math" w:hAnsi="Cambria Math"/>
              </w:rPr>
              <m:t>СЭ</m:t>
            </m:r>
          </m:sub>
        </m:sSub>
        <m:r>
          <w:rPr>
            <w:rFonts w:ascii="Cambria Math" w:hAnsi="Cambria Math"/>
          </w:rPr>
          <m:t>=0,5*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пр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пр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nary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пр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+0,2*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кпм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кпм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nary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кпм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+0,3*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знч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знч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nary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знч</m:t>
                    </m:r>
                  </m:sub>
                </m:sSub>
              </m:den>
            </m:f>
          </m:e>
        </m:d>
      </m:oMath>
      <w:bookmarkEnd w:id="7"/>
      <w:r>
        <w:rPr>
          <w:rFonts w:ascii="Times New Roman" w:hAnsi="Times New Roman"/>
        </w:rPr>
        <w:t>»</w:t>
      </w:r>
      <w:r w:rsidR="00327D8A">
        <w:rPr>
          <w:rFonts w:ascii="Times New Roman" w:hAnsi="Times New Roman"/>
        </w:rPr>
        <w:t>;</w:t>
      </w:r>
    </w:p>
    <w:p w:rsidR="00327D8A" w:rsidRDefault="00DB4806" w:rsidP="005D02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слов «</w:t>
      </w:r>
      <w:r>
        <w:rPr>
          <w:rFonts w:ascii="Times New Roman" w:hAnsi="Times New Roman"/>
          <w:sz w:val="28"/>
          <w:szCs w:val="28"/>
        </w:rPr>
        <w:t>по которым осуществляется расчет уровня достижения.</w:t>
      </w:r>
      <w:r>
        <w:rPr>
          <w:rFonts w:ascii="Times New Roman" w:hAnsi="Times New Roman"/>
          <w:sz w:val="28"/>
          <w:szCs w:val="28"/>
        </w:rPr>
        <w:t xml:space="preserve">» </w:t>
      </w:r>
      <w:r w:rsidR="005D022B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абзацем следующего содержания</w:t>
      </w:r>
      <w:r w:rsidR="005D022B">
        <w:rPr>
          <w:rFonts w:ascii="Times New Roman" w:hAnsi="Times New Roman"/>
          <w:sz w:val="28"/>
          <w:szCs w:val="28"/>
        </w:rPr>
        <w:t>:</w:t>
      </w:r>
    </w:p>
    <w:p w:rsidR="005D022B" w:rsidRDefault="005D022B" w:rsidP="003C3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230763516"/>
      <w:r>
        <w:rPr>
          <w:rFonts w:ascii="Times New Roman" w:hAnsi="Times New Roman"/>
          <w:sz w:val="28"/>
          <w:szCs w:val="28"/>
        </w:rPr>
        <w:t>«</w:t>
      </w:r>
      <w:r w:rsidR="003C3928">
        <w:rPr>
          <w:rFonts w:ascii="Times New Roman" w:hAnsi="Times New Roman"/>
          <w:sz w:val="28"/>
          <w:szCs w:val="28"/>
        </w:rPr>
        <w:t>Значимые структурные элементы государственной программы — это</w:t>
      </w:r>
      <w:r w:rsidR="000C2C81">
        <w:rPr>
          <w:rFonts w:ascii="Times New Roman" w:hAnsi="Times New Roman"/>
          <w:sz w:val="28"/>
          <w:szCs w:val="28"/>
        </w:rPr>
        <w:t xml:space="preserve"> комплексы процессных мероприятий или проекты, результат</w:t>
      </w:r>
      <w:r w:rsidR="003C3928">
        <w:rPr>
          <w:rFonts w:ascii="Times New Roman" w:hAnsi="Times New Roman"/>
          <w:sz w:val="28"/>
          <w:szCs w:val="28"/>
        </w:rPr>
        <w:t>ы</w:t>
      </w:r>
      <w:r w:rsidR="000C2C81">
        <w:rPr>
          <w:rFonts w:ascii="Times New Roman" w:hAnsi="Times New Roman"/>
          <w:sz w:val="28"/>
          <w:szCs w:val="28"/>
        </w:rPr>
        <w:t xml:space="preserve"> которых </w:t>
      </w:r>
      <w:r w:rsidR="003C3928">
        <w:rPr>
          <w:rFonts w:ascii="Times New Roman" w:hAnsi="Times New Roman"/>
          <w:sz w:val="28"/>
          <w:szCs w:val="28"/>
        </w:rPr>
        <w:t>включены в план по достижению показателей государственных программ Российской Федерации или в рамках которых реализуются мероприятия Инвестиционной программы Камчатского края соответствующего периода.</w:t>
      </w:r>
    </w:p>
    <w:p w:rsidR="003C3928" w:rsidRDefault="005D022B" w:rsidP="003C3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УД</w:t>
      </w:r>
      <w:r w:rsidRPr="005D022B">
        <w:rPr>
          <w:rFonts w:ascii="Times New Roman" w:hAnsi="Times New Roman"/>
          <w:sz w:val="28"/>
          <w:szCs w:val="28"/>
          <w:vertAlign w:val="subscript"/>
        </w:rPr>
        <w:t>знч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5D022B">
        <w:rPr>
          <w:rFonts w:ascii="Times New Roman" w:hAnsi="Times New Roman"/>
          <w:sz w:val="28"/>
          <w:szCs w:val="28"/>
        </w:rPr>
        <w:t>уровень достижения i-</w:t>
      </w:r>
      <w:proofErr w:type="spellStart"/>
      <w:r w:rsidRPr="005D022B">
        <w:rPr>
          <w:rFonts w:ascii="Times New Roman" w:hAnsi="Times New Roman"/>
          <w:sz w:val="28"/>
          <w:szCs w:val="28"/>
        </w:rPr>
        <w:t>го</w:t>
      </w:r>
      <w:proofErr w:type="spellEnd"/>
      <w:r w:rsidR="003C3928">
        <w:rPr>
          <w:rFonts w:ascii="Times New Roman" w:hAnsi="Times New Roman"/>
          <w:sz w:val="28"/>
          <w:szCs w:val="28"/>
        </w:rPr>
        <w:t xml:space="preserve"> значимого структурного элемента государственной программы</w:t>
      </w:r>
      <w:r w:rsidR="00366CF8">
        <w:rPr>
          <w:rFonts w:ascii="Times New Roman" w:hAnsi="Times New Roman"/>
          <w:sz w:val="28"/>
          <w:szCs w:val="28"/>
        </w:rPr>
        <w:t>;</w:t>
      </w:r>
    </w:p>
    <w:p w:rsidR="005D022B" w:rsidRDefault="003C3928" w:rsidP="003C3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3C3928">
        <w:rPr>
          <w:rFonts w:ascii="Times New Roman" w:hAnsi="Times New Roman"/>
          <w:sz w:val="28"/>
          <w:szCs w:val="28"/>
          <w:vertAlign w:val="subscript"/>
        </w:rPr>
        <w:t>знч</w:t>
      </w:r>
      <w:proofErr w:type="spellEnd"/>
      <w:r w:rsidRPr="003C3928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300F6C">
        <w:rPr>
          <w:rFonts w:ascii="Times New Roman" w:hAnsi="Times New Roman"/>
          <w:sz w:val="28"/>
          <w:szCs w:val="28"/>
        </w:rPr>
        <w:t>значимого структурного элемента государственной программы;</w:t>
      </w:r>
    </w:p>
    <w:p w:rsidR="00EF20ED" w:rsidRDefault="00EF20ED" w:rsidP="003C3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все структурные элементы государственной программы относятся к значимым, </w:t>
      </w:r>
      <w:r w:rsidRPr="00EF20ED">
        <w:rPr>
          <w:rFonts w:ascii="Times New Roman" w:hAnsi="Times New Roman"/>
          <w:sz w:val="28"/>
          <w:szCs w:val="28"/>
        </w:rPr>
        <w:t>расчет производится по следующей формуле:</w:t>
      </w:r>
    </w:p>
    <w:p w:rsidR="00EF20ED" w:rsidRDefault="00EF20ED" w:rsidP="00EF20ED">
      <w:pPr>
        <w:spacing w:after="0" w:line="240" w:lineRule="auto"/>
        <w:ind w:firstLine="709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УД</m:t>
            </m:r>
          </m:e>
          <m:sub>
            <m:r>
              <w:rPr>
                <w:rFonts w:ascii="Cambria Math" w:hAnsi="Cambria Math"/>
              </w:rPr>
              <m:t>СЭ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знч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знч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знч</m:t>
                </m:r>
              </m:sub>
            </m:sSub>
          </m:den>
        </m:f>
      </m:oMath>
      <w:r>
        <w:rPr>
          <w:rFonts w:ascii="Times New Roman" w:hAnsi="Times New Roman"/>
        </w:rPr>
        <w:t>.</w:t>
      </w:r>
      <w:r w:rsidRPr="00EF20ED">
        <w:rPr>
          <w:rFonts w:ascii="Times New Roman" w:hAnsi="Times New Roman"/>
          <w:sz w:val="28"/>
          <w:szCs w:val="28"/>
        </w:rPr>
        <w:t>»</w:t>
      </w:r>
      <w:bookmarkEnd w:id="8"/>
    </w:p>
    <w:p w:rsidR="002B78D9" w:rsidRDefault="003C3928" w:rsidP="003C3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32317">
        <w:rPr>
          <w:rFonts w:ascii="Times New Roman" w:hAnsi="Times New Roman"/>
          <w:sz w:val="28"/>
          <w:szCs w:val="28"/>
        </w:rPr>
        <w:t>) часть 13 дополнить абзацем следующего содержания:</w:t>
      </w:r>
    </w:p>
    <w:p w:rsidR="002B78D9" w:rsidRDefault="00932317" w:rsidP="003C3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9" w:name="_Hlk230763715"/>
      <w:bookmarkStart w:id="10" w:name="_GoBack"/>
      <w:r>
        <w:rPr>
          <w:rFonts w:ascii="Times New Roman" w:hAnsi="Times New Roman"/>
          <w:sz w:val="28"/>
          <w:szCs w:val="28"/>
        </w:rPr>
        <w:t>В случае если фактическое значение мероприятия (результата), достигнутое на конец отчетного года, превышает плановое значение мероприятия (результата), установленное на конец отчетного года, при расчете уровня достижения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 (результата) структурного элемента фактическое значение мероприятия (результата) принимается равным плановому годовому значению мероприятия (результата).</w:t>
      </w:r>
      <w:bookmarkEnd w:id="9"/>
      <w:bookmarkEnd w:id="10"/>
      <w:r>
        <w:rPr>
          <w:rFonts w:ascii="Times New Roman" w:hAnsi="Times New Roman"/>
          <w:sz w:val="28"/>
          <w:szCs w:val="28"/>
        </w:rPr>
        <w:t>».</w:t>
      </w:r>
    </w:p>
    <w:p w:rsidR="009635B5" w:rsidRDefault="009635B5">
      <w:pPr>
        <w:spacing w:after="0" w:line="240" w:lineRule="auto"/>
        <w:ind w:firstLine="709"/>
        <w:jc w:val="both"/>
      </w:pPr>
    </w:p>
    <w:p w:rsidR="002B78D9" w:rsidRDefault="009323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B78D9" w:rsidRDefault="002B78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2B78D9">
        <w:trPr>
          <w:trHeight w:val="2220"/>
        </w:trPr>
        <w:tc>
          <w:tcPr>
            <w:tcW w:w="3578" w:type="dxa"/>
            <w:shd w:val="clear" w:color="auto" w:fill="auto"/>
          </w:tcPr>
          <w:p w:rsidR="002B78D9" w:rsidRDefault="00932317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</w:p>
          <w:p w:rsidR="002B78D9" w:rsidRDefault="00932317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Правительства</w:t>
            </w:r>
          </w:p>
          <w:p w:rsidR="002B78D9" w:rsidRDefault="00932317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2B78D9" w:rsidRDefault="002B78D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78D9" w:rsidRDefault="002B78D9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2B78D9" w:rsidRDefault="002B78D9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2B78D9" w:rsidRDefault="00932317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1"/>
          </w:p>
        </w:tc>
        <w:tc>
          <w:tcPr>
            <w:tcW w:w="2551" w:type="dxa"/>
            <w:shd w:val="clear" w:color="auto" w:fill="auto"/>
          </w:tcPr>
          <w:p w:rsidR="002B78D9" w:rsidRDefault="002B78D9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B78D9" w:rsidRDefault="002B78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B78D9" w:rsidRDefault="0093231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2B78D9" w:rsidRDefault="002B7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B78D9">
      <w:headerReference w:type="default" r:id="rId7"/>
      <w:headerReference w:type="first" r:id="rId8"/>
      <w:pgSz w:w="11906" w:h="16838"/>
      <w:pgMar w:top="1739" w:right="851" w:bottom="1134" w:left="1418" w:header="1134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7C" w:rsidRDefault="004E6D7C">
      <w:pPr>
        <w:spacing w:after="0" w:line="240" w:lineRule="auto"/>
      </w:pPr>
      <w:r>
        <w:separator/>
      </w:r>
    </w:p>
  </w:endnote>
  <w:endnote w:type="continuationSeparator" w:id="0">
    <w:p w:rsidR="004E6D7C" w:rsidRDefault="004E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7C" w:rsidRDefault="004E6D7C">
      <w:pPr>
        <w:spacing w:after="0" w:line="240" w:lineRule="auto"/>
      </w:pPr>
      <w:r>
        <w:separator/>
      </w:r>
    </w:p>
  </w:footnote>
  <w:footnote w:type="continuationSeparator" w:id="0">
    <w:p w:rsidR="004E6D7C" w:rsidRDefault="004E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8D9" w:rsidRDefault="00932317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8D9" w:rsidRDefault="002B78D9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D9"/>
    <w:rsid w:val="000C2C81"/>
    <w:rsid w:val="002B78D9"/>
    <w:rsid w:val="002C0CC5"/>
    <w:rsid w:val="002F1472"/>
    <w:rsid w:val="00300F6C"/>
    <w:rsid w:val="00327D8A"/>
    <w:rsid w:val="00366CF8"/>
    <w:rsid w:val="00392031"/>
    <w:rsid w:val="003A621C"/>
    <w:rsid w:val="003C3928"/>
    <w:rsid w:val="00474643"/>
    <w:rsid w:val="004764CD"/>
    <w:rsid w:val="004E6D7C"/>
    <w:rsid w:val="0056454C"/>
    <w:rsid w:val="005D022B"/>
    <w:rsid w:val="00871BA9"/>
    <w:rsid w:val="00932317"/>
    <w:rsid w:val="009635B5"/>
    <w:rsid w:val="009D272E"/>
    <w:rsid w:val="00A55C70"/>
    <w:rsid w:val="00BC4560"/>
    <w:rsid w:val="00DB4806"/>
    <w:rsid w:val="00E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9307"/>
  <w15:docId w15:val="{B124CC6A-6FF9-45D0-BB3D-5C977D9B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EF20ED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3">
    <w:name w:val="Верхний колонтитул Знак"/>
    <w:basedOn w:val="1"/>
    <w:link w:val="a4"/>
    <w:uiPriority w:val="99"/>
    <w:qFormat/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Текст Знак"/>
    <w:basedOn w:val="1"/>
    <w:link w:val="a6"/>
    <w:qFormat/>
    <w:rPr>
      <w:rFonts w:ascii="Calibri" w:hAnsi="Calibri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aa">
    <w:name w:val="Нижний колонтитул Знак"/>
    <w:basedOn w:val="1"/>
    <w:link w:val="ab"/>
    <w:qFormat/>
    <w:rPr>
      <w:rFonts w:ascii="Times New Roman" w:hAnsi="Times New Roman"/>
      <w:sz w:val="28"/>
    </w:rPr>
  </w:style>
  <w:style w:type="character" w:customStyle="1" w:styleId="ac">
    <w:name w:val="Заголовок Знак"/>
    <w:link w:val="ad"/>
    <w:qFormat/>
    <w:rPr>
      <w:rFonts w:ascii="XO Thames" w:hAnsi="XO Thames"/>
      <w:b/>
      <w:caps/>
      <w:sz w:val="40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d">
    <w:name w:val="Title"/>
    <w:next w:val="af0"/>
    <w:link w:val="ac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af4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6">
    <w:name w:val="Plain Text"/>
    <w:basedOn w:val="a"/>
    <w:link w:val="a5"/>
    <w:qFormat/>
    <w:pPr>
      <w:spacing w:after="0" w:line="240" w:lineRule="auto"/>
    </w:pPr>
    <w:rPr>
      <w:rFonts w:ascii="Calibri" w:hAnsi="Calibri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2">
    <w:name w:val="Гиперссылка1"/>
    <w:basedOn w:val="15"/>
    <w:link w:val="a7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Дмитрий Игоревич</dc:creator>
  <dc:description/>
  <cp:lastModifiedBy>Igor</cp:lastModifiedBy>
  <cp:revision>26</cp:revision>
  <dcterms:created xsi:type="dcterms:W3CDTF">2025-01-31T01:52:00Z</dcterms:created>
  <dcterms:modified xsi:type="dcterms:W3CDTF">2026-05-26T20:43:00Z</dcterms:modified>
  <dc:language>ru-RU</dc:language>
</cp:coreProperties>
</file>