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63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left="0" w:firstLine="0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ind w:left="0" w:firstLine="0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внесении изменения в приложение к постановлению Губернатора Камчатского края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от 09.08.2016 № 87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«Об утверждении Административного регламента Министерства здравоохранения Камчатского края по предоставлению  государственной услуги «Лицензирование медицинской деятельности (за иск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«Сколково», организациями, подведомственными федеральным органам исполнител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Учитывая протест прокурора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 Камчатского края </w:t>
      </w:r>
      <w:r>
        <w:rPr>
          <w:rFonts w:ascii="Times New Roman" w:hAnsi="Times New Roman" w:eastAsia="Times New Roman" w:cs="Times New Roman"/>
          <w:color w:val="000000" w:themeColor="text1"/>
          <w:sz w:val="22"/>
          <w:lang w:val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от 30.03.2026 № 07-21-2026/Прт-24-26-20300001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val="ru-RU"/>
        </w:rPr>
        <w:t xml:space="preserve">Внести изменение в приложение к постановлению Губернатора Камчатского кра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val="ru-RU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val="ru-RU"/>
        </w:rPr>
        <w:t xml:space="preserve">от 09.08.2016 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lang w:val="ru-RU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val="ru-RU"/>
        </w:rPr>
        <w:t xml:space="preserve">87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val="ru-RU"/>
        </w:rPr>
        <w:t xml:space="preserve">«Об утверждении Административного регламента Министерства здравоохранения Камчатского края по предоставлению  государственной услуги «Лицензирование медицинской деятельности (за иск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val="ru-RU"/>
        </w:rPr>
        <w:t xml:space="preserve">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«Сколково», организациями, подведомственными федеральным органам исполнител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val="ru-RU"/>
        </w:rPr>
        <w:t xml:space="preserve">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помощи)»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изложив его в редакции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согласно приложению к настоящему постановлению.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ind w:left="0" w:firstLine="709"/>
        <w:jc w:val="both"/>
        <w:spacing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2. Настоящее постановление вступает в силу после дня его официального опубликования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>
        <w:tblPrEx/>
        <w:trPr>
          <w:trHeight w:val="173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4835" w:type="dxa"/>
            <w:textDirection w:val="lrTb"/>
            <w:noWrap w:val="false"/>
          </w:tcPr>
          <w:p>
            <w:pPr>
              <w:ind w:right="-116"/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976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Солодов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bookmarkStart w:id="2" w:name="_GoBack"/>
      <w:r/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84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Губернатора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ind w:left="0" w:firstLine="709"/>
        <w:jc w:val="both"/>
        <w:rPr>
          <w:rFonts w:asciiTheme="minorAscii" w:hAnsiTheme="minorHAnsi"/>
          <w:sz w:val="22"/>
          <w:lang w:val="ru-RU"/>
        </w:rPr>
      </w:pPr>
      <w:r>
        <w:rPr>
          <w:rFonts w:asciiTheme="minorAscii" w:hAnsiTheme="minorHAnsi"/>
          <w:sz w:val="22"/>
          <w:lang w:val="ru-RU"/>
        </w:rPr>
      </w:r>
      <w:r>
        <w:rPr>
          <w:rFonts w:asciiTheme="minorAscii" w:hAnsiTheme="minorHAnsi"/>
          <w:sz w:val="22"/>
          <w:lang w:val="ru-RU"/>
        </w:rPr>
      </w:r>
      <w:r>
        <w:rPr>
          <w:rFonts w:asciiTheme="minorAscii" w:hAnsiTheme="minorHAnsi"/>
          <w:sz w:val="22"/>
          <w:lang w:val="ru-RU"/>
        </w:rPr>
      </w:r>
    </w:p>
    <w:p>
      <w:pPr>
        <w:ind w:left="0" w:firstLine="709"/>
        <w:jc w:val="center"/>
        <w:spacing w:after="0" w:afterAutospacing="0"/>
        <w:rPr>
          <w:rFonts w:ascii="Times New Roman" w:hAnsi="Times New Roman" w:cs="Times New Roman"/>
          <w:sz w:val="24"/>
        </w:rPr>
      </w:pPr>
      <w:r>
        <w:rPr>
          <w:sz w:val="28"/>
          <w:lang w:val="ru-RU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            «Приложение к постановлению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firstLine="709"/>
        <w:spacing w:after="0" w:afterAutospacing="0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                                                                Губернатора Камчатского края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firstLine="709"/>
        <w:spacing w:after="0" w:afterAutospacing="0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                                                                от       09.08.2016            №    87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r/>
      <w:r/>
    </w:p>
    <w:p>
      <w:p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Административный регламент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Министерства здравоохранения Камчатского края по предоставлению  государственной услуги «Лицензирование медицинской деятельности </w:t>
      </w:r>
      <w:r>
        <w:rPr>
          <w:rFonts w:ascii="Times New Roman" w:hAnsi="Times New Roman" w:eastAsia="Times New Roman" w:cs="Times New Roman"/>
          <w:sz w:val="28"/>
          <w:lang w:val="ru-RU"/>
        </w:rPr>
        <w:br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(за исключен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«Сколково», организациями, подведомственными федеральным органам исполнительной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власти, организациями федеральных органов исполнительной власти, в которых федеральным законом предусмотрена военная и приравненная к ней служба,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а также организациями, осуществляющими деятельность по оказанию высокотехнологичной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медицинской помощи)»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Настоящий Административный регламент устанавливает стандарт предоставления государственной услуги «Лицензирование медицинской деятельности (за исключением указанной деятельности, осуществляемой медицинскими ор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ганизациями и другими организациями, входящими в частную систему здравоохранения, на территории инновационного центра «Сколково», организациями, подведомственными федеральным органам исполнительной власти, организациями федеральных органов исполнительной в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помощи)» на территории Камчатского края (далее – государственная слуга).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Государственная услуга предоставляется юридическим лицам независимо от их орг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анизационно-правовой формы (в том числе иностранным юридическим лицам – участникам проекта международного медицинского кластера) либо индивидуальным предпринимателям, планирующим осуществлять или осуществляющим медицинскую деятельность (далее – заявитель).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3. Заявителями на получение государственной услуги являются: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юридические лица (за исключением медицинских организаций и других организаций, входящих в частную систему здравоохранения, на территории инновационного центра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Сколково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организаций,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подведомственных федеральным органам исполнительной власти, организаций федеральных органов исполнительной власти, в которых федеральным законом предусмотрена военная и приравненная к ней служба, а также организаций, осуществляющих деятельность по оказани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ю высокотехнологичной медицинской помощи), индивидуальные предприниматели, иностранные юридические лица – участники проекта международного медицинского кластера, имеющие намерение осуществлять медицинскую деятельность, либо уполномоченные в соответствии с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законодательством Российской Федерации представители указанных лиц;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юридические лица (за исключением медицинских организаций и других организаций, входящих в частную систему здравоохранения, на территории инновационного центра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Сколково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организаций, подведомственных федеральным органам исполнительной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власти, организаций федеральных органов исполнительной власти, в которых федеральным законом предусмотрена военная и приравненная к ней служба, а также организаций, осуществляющих деятельность по оказанию высокотехнологичной медицинской помощи), индивидуа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льные предприниматели, иностранные юридические лица – участники проекта международного медицинского кластера, осуществляющие медицинскую деятельность, либо уполномоченные в соответствии с законодательством Российской Федерации представители указанных лиц;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физиче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ские лица, индивидуальные предприниматели, юридические лица, обратившиеся за предоставлением сведений о конкретной лицензии на осуществление медицинской деятельности, за предоставлением информации по вопросам лицензирования (далее – заинтересованное лицо).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услуг, на Едином портале.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white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Государственная услуга предоставляе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тся заявителям или их уполномоченным представителям, указанным в части 3 настоящего Административного регламента, в соответствии с категориями (признаками) заявителей, определяемыми на основании приложения 1 к настоящему Административному регламенту.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6. Категории (признаки) заявителя определяются путем профилирования, осуществляемого в соответствии с Административным регламентом.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7. Наименование государственной услуги: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Сколково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организациями, подведомственными федеральным органам исполнит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8. Наименование органа, предоставляющего государственную услугу: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министерство здравоохранения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Камчатского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края (далее – Министерство)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2.1.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9. 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Наименование результата (результатов) предоставления государственной услуги: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предоставление (отказ в предоставлении) лицензии;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внесение изменений (отказ во внесении изменений) в реестр лицензий;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прекращение действия лицензии по заявлению лицензиата;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предоставление сведений о конкретной лицензии из Единого реестра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лицензий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предоставление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информации по вопросам лицензирования.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10. Результаты предоставления государственной услуги оформляются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Министерства.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11. Реестровые записи о результатах предоставления государственной услуги в соответствии с Правилами формирования и ведения реестра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лицензий, утвержденными постановлением Правительства Российской Федерации </w:t>
        <w:br/>
        <w:t xml:space="preserve">от 29.12.2020 № 2343, содержатся в Едином реестре учета лицензий (разрешений), который ведется Федеральной службой по надзору в сфере здравоохранения (далее – АИС Росздравнадзора).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12. Результаты предоставления государственной услуги могут быть получены посредством Единого портала либо отправлением на электронную почту заявителя. Факт получения заявителем результата предоставления государственной услуги фиксируется на Едином портале.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2.2. Срок предоставления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Максимальный срок предоставления государ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ственной услуги, который исчисляется со дня регистрации Министерством запроса, документов и (или) информации, необходимых для предоставления государственной услуги с учетом категории (признаков) заявителя и результата предоставления государственной услуги: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максимальный срок предоставления лицензии составляет 10 (десять) рабочих дней со дня приема заявления о предоставлении лицензии, направленного посредством Единого портала.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 намерении соискателя лицензии осуществлять медицинскую деятельность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закрытого административно-территориального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ЗАТО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максимальный срок предоставления лицензии составляет 15 (пятнадцать) рабочих дней со дня приема заявления о предоставлении лицензии, направленного посредством Единого портала;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максимальный срок предоставления государственной услуги при внесении изменений в реестр лицензий составляет не более 5 (пяти) рабочих дней со дня получения заявления, направленного посредством Единого портала, если в заявлении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указан 1 адрес, не указанный в реестре лицензий, и не более 10 работ (услуг), которые лицензиат намерен выполнять в амбулаторных условиях в соответствии с классификатором работ (услуг), составляющих медицинскую деятельность, утвержденным Минздравом России.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случаях, не указанных в абзаце первом настоящей части, срок предоставления государственной услуги не превышает 10 (десять) рабочих дней со дня получения заявления, направленного посредством Единого портала.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 намерении лицензиата осуществлять лицензируемый вид деятельности на территории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ЗАТО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по адресу места ее осуществления, не предусмотренному лицензией, либо внести изменения в указанный в лицензии перечень выполняемых р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абот, оказываемых услуг, составляющих лицензируемый вид деятельности, срок предоставления государственной услуги не превышает 15 (пятнадцати) рабочих дней со дня получения заявления и прилагаемых к нему документов, направленных посредством Единого портала;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3) максимальный срок предоставления государственной услуги при прекращении действия лицензии составляет не более 3 (трех) рабочих дней со дня получения соответствующего заявления, направленного посредством Единого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портала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4) максим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альный срок предоставления государственной услуги при предоставлении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сведений о конкретной лицензии составляет не более 3 (трех) рабочих дней со дня получения соответствующего заявления, направленного посредством Единого портала;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5) максимальный срок предоставления государственной услуги при предоставлении информации по вопросам лицензирования составляет не более 30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календарных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дней со дня получения такого запроса;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6) 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аксимальный срок предоставления государственной услуги зависит от категории (признаков) заявителя и не зависит от способа обращения за предоставлением государственной услуги.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2.3.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13.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За предоставление лицензии, внесение изменений в реестр лицензий на основании заявления о внесении изменений в реестр лицензий, подаваемого в Министерство, уплачивается государственная пошлина в размерах и порядке, которые установлены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подпунктом 92 пункта 1 статьи 333.33 Налогового кодекса Российской Федерации.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14.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Сведения о размере платы и способах ее уплаты размещаются на Едином портале, на официальном сайте Министерства в сети Интернет.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Заявителю предоставляется возможность оплатить государственную пошлину за предоставление государственной услуги в личном кабинете на 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дином портале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с использованием платежных сервисов.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2.4. Максимальный срок ожидания в очереди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 подаче заявителем запроса о предоставлении государственной услуги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15. Максимальный срок ожидания в очереди при подаче заявления не предусмотрен, поскольку заявление подается исключительно в электронном виде.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16.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Максимальный срок ожидания в очереди при получении результата государственной услуги не предусмотрен, поскольку выдача результата осуществляется исключительно в электронном виде.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2.5.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17.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Регистрация заявления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поступившего посредством Единого портала, осуществляется Министерством не позднее одного рабочего дня со дня поступления заявления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Министерство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18.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Регистрация запроса о предоставлении информации по вопросам лицензирования осуществляется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службой делопроизводства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Министерства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день их поступления или на следующий рабочий день при поступлении документов после 15.00 часов или в нерабочее время.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2.6. Требования к помещениям, в которых предоставляется государственная услуга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19.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ab/>
        <w:t xml:space="preserve">Требования к помещениям, в которых предоставляется государственная услуга, отсутствуют, поскольку государственная услуга предоставляется исключительно в электронном виде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2.7. Показатели качества и доступности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20.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ab/>
        <w:t xml:space="preserve">Показатели доступности и качества государственной услуги размещены на официальном сайте Министерства в сети «Интернет», а также на Едином портале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2.8. Иные требования к предоставлению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21. Услуги, которые являются необходимы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и обязательны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для предоставления государственной услуги,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законодательством Российской Федерации не предусмотрены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22.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Перечень информационных систем, используемых для предоставления государственной услуги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Единый портал – федеральная государственная информационная система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АИС Росздравнадзор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3) 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дин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государственн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информационн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систем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в сфере здравоохранения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(далее – ЕГИСЗ);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4) Система межведомственного электронного взаимодействия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Государственная услуга в отношении несовершеннолетних не оказывается.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24.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Государственная услуга в многофункциональном центре предоставления государственных и муниципальных услуг (далее – МФЦ) не предоставляется.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ентов, направленных в МФЦ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2.9.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25.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представи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2 к настоящему Административному регламенту.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Форм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запроса (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заявления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о предоставлении государственной услуги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приведен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в приложении 4 к настоящему Административному регламенту.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Формы документов, необходимых для предоставления государственной услуги, Административным регламентом не установлены.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26.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Исчерпывающий перечень оснований для отказа в приеме запроса о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Основания для отказа в приеме запроса о предоставлении государственной услуги и документов, необходимых для предоставления государственной услуги, не предусмотрены.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white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Основания для предоставления государственной услуги отсутствуют.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27. Перечень оснований для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отказа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в предоставлении государственной услуги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Исчерпывающий перечень оснований для отказа в предоставлении государственной услуги с учетом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категорий (признаков)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заявителя приведен в приложении 3 к Административному регламенту.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28.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4) оценка сведений о заявителе и (или) объектах, принадлежащих заявителю, и (или) иных объектах;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6) предоставление результата государственной услуги.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contextualSpacing/>
        <w:ind w:firstLine="540"/>
        <w:jc w:val="both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29.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Профилирование заявителя.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пособ предоставления государственной услуги определяется на основании результата государственной услуги, за предоставлением которой обратился заявитель, путем его анкетирования (опроса) либо анкетирования (опроса) представителя заявителя (в случае обращени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представителя заявителя с заявлением). Анкетирование заявителя (его представителя) осуществляется посредством Единого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При обращении заявителя (представителя заявителя) за государственной услугой посредством Единого портала его профилирование осуществляется автоматически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включает в себя вопросы, позволяющие выявить перечень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категорий (признаков)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заявителя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при заполнении заявления путем проставления соответствующих отметок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галочек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) в зависимости от типа (признаков) заявителя (представителя заявителя)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 процессе которого устанавливается результат государственной услуги, за предоставлением которой он обратился.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атегорий (признаки) заявителей установлены в приложении 1 к Административному регламенту.</w:t>
      </w:r>
      <w:r>
        <w:rPr>
          <w:rFonts w:ascii="Times New Roman" w:hAnsi="Times New Roman" w:cs="Times New Roman"/>
          <w:color w:val="auto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whit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Установленный по результатам профилирования порядок предоставления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доводится до заявителя в электронной форме посредством Единого портала, исключающей неоднозначное понимание.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При поступлении запроса заинтересованного лица о предоставлении информации по вопросам лицензирования профилирование заявителя не предусмотрено.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30. 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Перечень документов и (или) информации, необходимых для предоставления государственной услуги, вместе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с идентификаторами категорий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(признаков) заявителей, а также способ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подачи документов приведены в приложении 2 к Административному регламенту.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Запрос (заявление) подается в интерактивной форме посредством Единого портала.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Запрос заинтересованного лица о предоставлении информации по вопросам лицензирования подается посредством почтовой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связи либо по электронной почте. Форма такого запроса Административным регламентом не предусмотрена.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Формы запроса (заявления) о предоставлении государственной услуги приведены в приложении 4 к Административному регламенту.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Формы документов, необходимых для предоставления государственной услуги, настоящим Административным регламентом не установлены.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31.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Способ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установления личности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заявителя (представителя заявителя).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Идентификация и аутентификация заявителя осуществляются с использованием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федеральной государственной инфор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(далее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ЕСИА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ри подаче заявления о предоставлении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государственной услуги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 электронном виде с использованием Единого портала: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юридическим лицом, индивидуальным предпринимателем осуществляется подписание такого заявления в соответствии с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Федеральным законом от 04.05.2011 № 99-Ф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З «О лицензировании отдельных видов деятельности»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(далее –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Федеральный закон № 99-Ф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З)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ус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иленной квалифицированной электронной подписью руководителя постоянно действующего исполнительного органа юридического лица или иного имеющего право действовать от имени этого юридического лица без доверенности лица либо индивидуального предпринимателя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физическим лицом, представляющим интересы юридического лица или индивидуального предпринимателя по доверенности (при наличии в электронной форме в машиночитаемом виде доверенностей, подтверждающих соответствующие полномочия), подписание так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ого заявления осуществляется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порядке, указанного лица.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 поступлении запроса заинтересованного лица о предоставлении информации по вопросам лицензирования установление личности не предусмотрено.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32. Основания для принятия решения об отказе в приеме запроса и документов и (или) информации отсутствуют.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33. Возможность (невозможность) приема органом, предоставляющим государственную услугу,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запроса и документов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отсутствуют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Возможность приема Министерством запроса и документов и (или) информац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ии, необходимых для предоставления государственной услуги, по выбору заявителя (представителя заявителя) независимо от его места жительства или места пребывания (для индивидуальных предпринимателей), либо места нахождения (для юридических лиц) отсутствует.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34.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Регистрация заявления и документов и (или) информации, необходимых для предоставления государственной услуги, поступившего посредством Единого портала, осуществляется не позднее одного рабочего дня со дня поступления заявления в Министерство.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Регистрация запроса о предоставлении информации по вопросам лицензирования осуществляется службой делопроизводства Министерства: в день их поступления или на следующий рабочий день при поступлении документов после 15.00 часов или в нерабочее время.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35. Межведомственное информационное взаимодействие.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white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Межведомственное информационное взаимодействие осуществляется посредством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36. Наименование органа (организации), в который (которую) направляется информационный запрос: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Федеральная налоговая служба: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Информационный запрос: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Сведения о юридическом лице/индивидуальном предпринимателе из ЕГРЮЛ/ЕГРИП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Федеральная служба государственной регистрации, кадастра и картографии: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Информационный запрос: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Сведения о наличии (отсутствии) у заявителя, принадлежащих ему на праве собственности или ином законном основании зданий, строений, сооружений и (или) помещений, необходимых для выполнения заявленных работ (услуг), права на которые зарегистрированы в ЕГРН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3) Федеральная служба по надзору в сфере защиты прав потребителей и благополучия человека: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Информационный запрос: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Сведения о наличии (отсутствии)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 заявителя санитарно-эпидемиологического заключения о соответствии (несоответствии) санитарным правилам зданий, строений, сооружений, помещений, оборудования и иного имущества, которое предполагается использовать для осуществления медицинской деятельности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37. Наименование используемого вида сведений: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 осуществлении межведомственного электронного информационного взаимодействия используется сервис, витрина данных.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38. Срок направления информационного запроса с момента регистрации запроса заявителя о предоставлении государственной услуги.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Направление Министерством межведомственных запросов на получение необходимых для предоставления государственной услуги документов и сведений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осуществляется в течение одного рабочего дня со дня регистрации заявления.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Формирование Министерст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вом запросов и получение документов и сведений, необходимых для принятия решения о предоставлении государственной услуги в электронном виде с использованием системы межведомственного электронного взаимодействия, обеспечиваются в автоматизированном порядке.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39. Срок получения ответа на информационный запрос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Срок предоставления органами и (или) организациями докум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ентов и сведений (если они имеются в их распоряжении), необходимых для предоставления государственной услуги, в рамках ответа на межведомственные электронные запросы не должен превышать 48 часов с момента направления соответствующих запросов Министерством.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white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40.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Межведомственное информационное взаимодействие без использования системы межведомственное электронного взаимодействия не предусмотрено.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41. При поступлении запроса о предоставлении информации по вопросам лицензирования межведомственное информационное взаимодействие не предусмотрено.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42. Основания для приостановления предоставления государственной услуги отсутствуют.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43. Принятие решения о предоставлении (об отказе в предоставлении) государственной услуги.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Основания для отказа в предоставлении государственной услуги приведены в приложении 3 к настоящему Административному регламенту.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Решение о предоставлении государственной услуги принимается при отсутствии оснований для отказа в ее предоставлении.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Срок принятия решения о предоставлении (об отказе в предоставлении)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Решение о предоставлении государственной услуги (об отказе в предо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ставлении государственной услуги) принимается Министерством со дня регистрации заявления и получения всех необходимых для принятия соответствующего решения документов (копий документов), сведений, указанных в приложении  2 к Административному регламенту: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при предоставлении лицензии – в срок, не превышающий 10 рабочих дней (при намерении осуществлять деятельность на территории ЗАТО – 15 рабочих дней);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при внесении изменений в реестр лицензий в связи намерением лицензиата осуществлять медицинскую деятельность по адре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су, не указанному в реестре лицензий, и (или) выполнять работы (услуги), составляющие медицинскую деятельность, не предусмотренные реестром лицензий, в срок, не превышающий 5 рабочих дней в случае, если в заявлении о внесении изменений в реестр лицензий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указан 1 адрес, не указанный в реестре лицензий, и не более 10 работ (услуг), которые лицензиат намерен выполнять в амбулаторных условиях в соответствии с классификатором работ (услуг), составляющих медицинскую деятельность, утвержденным Минздравом России;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3) при внесении изменений в реестр лицензий в связи намере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нием 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ицензиата осуществлять медицинскую деятельность по адресу, не указанному в реестре лицензий, и (или) выполнять работы (услуги), составляющие медицинскую деятельность, не предусмотренные реестром лицензий, в случаях, не указанных в пункте 1 настоящей части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– в срок, не превышающий 10 рабочих дней (при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осуществлении медицинской деятельности на территории ЗАТО – в срок, не превышающий 15 рабочих дней);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4) при прекращении действия лицензии – в срок, не превышающий 3 рабочих дней со дня получения заявления лицензиата о прекращении медицинской деятельности;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5) при предоставлении сведений о конкретной лицензии – в срок, не превышающий 3 рабочих дней со дня получения заявления о предоставлении таких сведений;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6) при предоставлении по запросам заинтересованных лиц информации по вопросам лицензирования – в срок, не превышающий 30 календарных дней со дня получения такого запроса.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44. Предоставление результата государственной услуги.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Срок предоставления заявителю результата государственной услуги, исчисляемый со дня принятия решения о предоставлении государственной услуги с учетом способов предоставления результата государственной услуги.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день принятия решения Министерством о предоставлении государственной услуги вносится запись в реестр лицензий.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день внесения записи о предоставлении госу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дарственной услуги в реестр лицензий Министерство посредством Единого портала направляет заявителю (представителю заявителя) уведомление о предоставлении государственной услуги, содержащее ссылку на сведения из Единого реестра лицензий, размещенные в сети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Интернет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случае принятия решения об отказе в предоставлении государственной услуги Министерство в день подписания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приказа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об отказе в предоставлении государственной услу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ги направляет заявителю (представителю заявителя) посредством Единого портала уведомление об отказе в предоставлении государственной услуги с указанием оснований для принятия решения об отказе в предоставлении государственной услуги, приведенных в приложен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ии № 3 к Административному регламенту, включая указание каким именно лицензионным требованиям не соответствует соискатель лицензии/лицензиат и каким нормативным правовым актом (с указанием его структурной единицы) такое лицензионное требование установлено.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день регистрации ответа на запрос заинтересованного лица о предоставлении информации по вопросам лицензирования результат направляется почтовой связью либо на адрес электронной почты заявителя.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45. Возможность (невозможность) предоставления органом, предоставляющим государственную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услугу, или многофункциональным центром результата государственной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Возможность предоставления Мин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истерством результата предоставления государственной услуги по выбору заявителя (представителя заявителя) независимо от его места жительства или места пребывания (для индивидуальных предпринимателей) либо места нахождения (для юридических лиц) отсутствует.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46. Получение дополнительных сведений от заявителя не предусмотрено.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47. Оценка сведений о заявител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решения о предоставлении (об отказе в предоставлении) государственной услуги) (далее – оценка, процедура оценки).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Для принятия решения о предоставлении (об отказе в предоставлении) государственной услуги Министерство проводит оценку соответствия заявителя лицензионным требованиям: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в случае обращения заявителя за предоставлением лицензии - в срок, не превыш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ающий 10 рабочих дней со дня приема заявления о предоставлении лицензии (при намерении соискателя лицензии осуществлять медицинскую деятельность на территории ЗАТО - в срок, не превышающий 15 рабочих дней со дня приема заявления о предоставлении лицензии);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в случае при внесении изменений в реестр лицензий в связи намерением лицензиата осуществлять медицинскую деятельность по адре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су, не указанному в реестре лицензий, и (или) выполнять работы (услуги), составляющие медицинскую деятельность, не предусмотренные реестром лицензий, - в срок, не превышающий 5 рабочих дней в случае, если в заявлении о внесении изменений в реестр лицензий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указан 1 адрес, не указанный в реестре лицензий, и не более 10 работ (услуг), которые лицензиат намерен выполнять в амбулаторных условиях в соответствии с классификатором работ (услуг), составляющих медицинскую деятельность, утвержденным Минздравом России;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3) при внесении изменений в реестр лицензий в св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язи намерением лицензиата осуществлять медицинскую деятельность по адресу, не указанному в реестре лицензий, и (или) выполнять работы (услуги), составляющие медицинскую деятельность, не предусмотренные реестром лицензий, в случаях, не указанных в абзаце 3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28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– в срок, не превышающий 10 рабочих дней (при осуществлении медицинской деятельности на территории ЗАТО - в срок, не превышающий 15 рабочих дней).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Оценка соответствия лицензионным требованиям проводится Министерством в отношении соискателя лицензии или лицензиата в форме документарной оценки и (или) выездной оценки. в форме выездной оценки.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Объектом (предметом) документарной оценки являются сведения, содержащиеся в представленных заявителем за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явлении о предоставлении государственной услуги и прилагаемых документах (сведениях), а также имеющиеся в распоряжении Министерства, полученные в рамках межведомственного электронного взаимодействия, сведения о соискателе лицензии или лицензиате, содержащи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еся ЕГРЮЛ, государственном реестре аккредитованных филиалов, представительств иностранных юридических лиц, ЕГРИП и других федеральных информационных ресурсах, в целях оценки соответствия таких сведений положениям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частей 1 и 3 статьи 13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Федеральный закон № 99-Ф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Объектом (предметом) выездной оценки являются здания, строения, сооружения и (или) помещения, которые соискатель лицензии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или лицензиат предполагают использовать при осуществлении медицинской деятельности, работники, наличие которых необходимо для осуществления лицензируемого вида деятельности, в целях оценки соответствия таких объектов и работников лицензионным требованиям.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Документарная оценка проводится по месту нахождения Министерства. 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Выездная оценка осуществляется по месту или местам осуществления лицензируемого вида деятельности.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Результаты оценки соответствия соискателя лицензии лицензионным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требованиям оформляются актом оценки.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случае выявле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ния несоответствия соискателя лицензии в акте оценки указывается, каким именно лицензионным требованиям не соответствует соискатель лицензии и каким нормативным правовым актом (с указанием его структурной единицы) такое лицензионное требование установлено.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48.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 не предусмотрена.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49. Предоставление государственной услуги в упреждающем (проактивном) режиме.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Необходимость предварительной подачи заявителем запроса о предоставлении 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му государственной услуги в упреждающем (проактивном) режиме или подачи заявителем запроса о предоставлении государственной услуги после осуществления Министерством мероприятий в соответствии с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пунктом 1 части 1 статьи 7.3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Федерального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закона от 27.07.2010 № 210-ФЗ 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50. Основанием для предоставления заявителю государственной услуги в упреждающем (проактивном) режиме является поступление сведений, требующих внесения Министерством изменений в реестр лицензий: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1) о реорганизации юридического лица в форме преобразования;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2) о реорганизации в форме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3) о реорганизации в форме присоединения лицензиата к другому юридическому лицу;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4) об изменении наименовани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я лицензиата, изменении наименования филиала лицензиата в случае, если нормативными правовыми актами Российской Федерации предусмотрено внесение в реестр лицензий сведений о филиале лицензиата, изменение наименования филиала иностранного юридического лица;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5) об измен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ении адреса места нахождения лицензиата, изменении адреса места нахождения филиала лицензиата в случае,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6) об изменении имени, фамилии и (в случае, если имеется) отчества индивидуального предпринимателя;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7) об изменении места жительства индивидуального предпринимателя;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8) об изменении реквизитов документа, удостоверяющего личность индивидуального предпринимателя;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9) об изменении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индекса;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10) об изменении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тся в составе конкретных видов деятельности, в случае если нормативным правовым актом Российской Федерации необходимость оценки соответствия лицензиата лицензионным требованиям не установлена, либо в случае исключения в соответствии с нормативным правовым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актом Российской Федерации из перечня выполняемых работ, оказываемых услуг, составляющих лицензируемый вид деятельности, отдельных работ, услуг.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yellow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51. Состав, последовательность и сроки выполнения административных процедур, осуществляемых органом, предоставляющим государственную услугу, после поступления сведений, указанных части 50 настоящего Административного регламента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  <w:highlight w:val="yellow"/>
        </w:rPr>
      </w:r>
      <w:r>
        <w:rPr>
          <w:rFonts w:ascii="Times New Roman" w:hAnsi="Times New Roman" w:cs="Times New Roman"/>
          <w:b w:val="0"/>
          <w:sz w:val="26"/>
          <w:szCs w:val="26"/>
          <w:highlight w:val="yellow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Сведения, указанные в части 50 настоящего Административного регламента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поступившие от Федеральной налоговой службы либо посредством АИС Росздравнадзора, подлежат внесению в реестр лицензий в автоматическом режиме с использованием АИС Росздравнадзора.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день внесения записи о предоставлении госу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дарственной услуги в реестр лицензий Министерство посредством Единого портала направляет заявителю (представителю заявителя) уведомление о предоставлении государственной услуги, содержащее ссылку на сведения из Единого реестра лицензий, размещенные в сети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Интернет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имость оценки соответствия лицензиата лицензионным требованиям в связи с указанным изменением этим нормативным правовым актом не установлена, либо в случае исключения в соответствии с нормативным правовым актом Российской Федерации из перечня выполняемых р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абот, оказываемых услуг, составляющих лицензируемый вид деятельности, отдельных работ, услуг Министерство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день принятия решения Министерством о предоставлении государственной услуги в упреждающем (проактивном) режиме вносится запись в реестр лицензий в АИС Росздравнадзора.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течение 7 рабочих дней со дня внесения в реестр лицензий изменений, предусмотренных настоящим пунктом, лицензирующий 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0"/>
        <w:jc w:val="center"/>
        <w:rPr>
          <w:rFonts w:ascii="Times New Roman" w:hAnsi="Times New Roman" w:cs="Times New Roman"/>
          <w:b w:val="0"/>
          <w:sz w:val="26"/>
          <w:szCs w:val="26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Способы информирования заявителя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 изменении статуса рассмотрения запроса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53. Информирование заявителя об изменении статуса рассмотрения запроса о предоставлении государственной услуги осуществляется через личный кабинет заявителя на Едином портале.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87"/>
        <w:contextualSpacing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Информирование заинтересованного лица об изменении статуса рассмотрения запроса о предоставлении информации по вопросам лицензирования не предусмотрено.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ascii="Times New Roman" w:hAnsi="Times New Roman" w:cs="Times New Roman"/>
          <w:bCs/>
          <w:color w:val="auto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ascii="Times New Roman" w:hAnsi="Times New Roman" w:cs="Times New Roman"/>
          <w:bCs/>
          <w:color w:val="auto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ascii="Times New Roman" w:hAnsi="Times New Roman" w:cs="Times New Roman"/>
          <w:bCs/>
          <w:color w:val="auto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ascii="Times New Roman" w:hAnsi="Times New Roman" w:cs="Times New Roman"/>
          <w:bCs/>
          <w:color w:val="auto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Приложение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1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к Административному регламенту, Министерства здравоохранения Камчатского края утвержденному постановлением Губернатора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Камчатского края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от                      №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firstLine="709"/>
        <w:jc w:val="both"/>
        <w:spacing w:line="240" w:lineRule="exac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spacing w:line="240" w:lineRule="exac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Идентификаторы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категорий (признаков) заявителей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right"/>
        <w:spacing w:after="0" w:line="240" w:lineRule="auto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44"/>
        <w:gridCol w:w="5684"/>
        <w:gridCol w:w="2616"/>
      </w:tblGrid>
      <w:tr>
        <w:tblPrEx/>
        <w:trPr>
          <w:trHeight w:val="966"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Перечень результатов предоставления государственной услуги и перечень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отдельных признаков заявителей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Идентификаторы к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атегорий (признаков) заявителей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spacing w:after="0" w:line="2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5684"/>
        <w:gridCol w:w="74"/>
        <w:gridCol w:w="2542"/>
      </w:tblGrid>
      <w:tr>
        <w:tblPrEx/>
        <w:trPr>
          <w:trHeight w:val="264"/>
          <w:tblHeader/>
        </w:trPr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gridSpan w:val="4"/>
            <w:tcW w:w="93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Результат предоставления государственной услуги, за которой обра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тился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заявитель –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 обратилось через представителя, имеющего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деятельность)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 обратилось через представителя, действующего по доверенности от имени юридического лица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Индивидуальный предприниматель, обратился лично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Индивидуальный предприниматель обратился через представителя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Иностранное юридическое лицо – участник проекта международного медицинского кластера, обратилось через представителя, имеющего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Иностранное юридическое лицо – участник проекта международного медицинского кластера, обратилось через представителя, действующего по доверенности от имени юридического лица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W w:w="93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за которой обратился заявитель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несение изменений в реестр лицензий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ностранное юридическое лицо – участник проекта международного медицинского кластера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обратил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ся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через представителя, имеющего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 xml:space="preserve">Юридическое лицо, индивидуальный предприниматель (в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несение изменений в реестр лицензий)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ностранное юридическое лицо – участник проекта международного медицинского кластера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обратил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ся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через представителя, действующего от его имени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 – индивидуальный предприниматель, обратившийся лично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2.4.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 – индивидуальный предприниматель, обратившийся через представителя по доверенности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W w:w="93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Результат предоставления государственной услуги, за которой обратился заявитель – прекращение действия лицензии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ностранное юридическое лицо – участник проекта международного медицинского кластера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обратил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ся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через представителя, имеющего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 xml:space="preserve">Юридическое лицо, индивидуальный предприниматель 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 xml:space="preserve"> (п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рекращение действия лицензии)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ностранное юридическое лицо – участник проекта международного медицинского кластера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обратил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ся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 через представителя, действующего от его имени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 – индивидуальный предприниматель, обратился лично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Лицензиат – индивидуальный предприниматель, обратился через представителя по доверенности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W w:w="93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Результат предоставления государственной услуги, за которой обратился заявитель – предоставление сведений о конкретной лицензии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Физическое лицо, обратился лично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Физическое лицо, индивидуальный предприниматель, юридическое лицо 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 xml:space="preserve"> (с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ведения из реестра лицензий)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Физическое лицо, обратился через представителя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Индивидуальный предприниматель, обратился лично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4.4.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Индивидуальный предприниматель, обратился через представителя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ностранное юридическое лицо – участник проекта международного медицинского кластера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обратилось через представителя, имеющего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4.6.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56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ностранное юридическое лицо – участник проекта международного медицинского кластера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обратилось через представителя, действующее от имени юридического лица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26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W w:w="93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 Результат предоставления государственной услуги, за которой обратился заявитель – предоставление информации по вопросам лицензирования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57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Физическое лицо, обратился лично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5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Физическое лицо, индивидуальный предприниматель, юридическое лицо 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редоставление информации по вопросам лицензирования)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5.2.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57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Физическое лицо, обратился через представителя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5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5.3.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57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Индивидуальный предприниматель, обратился лично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5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5.4.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57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Индивидуальный предприниматель, обратился через представителя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5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5.5.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57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иностранное юридическое лицо – участник проекта международного медицинского кластера обратилось через представителя, имеющего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5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5.6.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57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Юридическое лицо, иностранное юридическое лицо – участник проекта международного медицинского кластера обратилось через представителя,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действующее от имени юридического лица по доверенности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542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Приложение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2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к Административному регламенту, Министерства здравоохранения Камчатского края утвержденному постановлением Губернатора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Камчатского края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ru-RU"/>
        </w:rPr>
        <w:t xml:space="preserve">от                      №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счерпывающий перечень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документов, необходимых для предоставления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tbl>
      <w:tblPr>
        <w:tblStyle w:val="884"/>
        <w:tblW w:w="9634" w:type="dxa"/>
        <w:tblLook w:val="04A0" w:firstRow="1" w:lastRow="0" w:firstColumn="1" w:lastColumn="0" w:noHBand="0" w:noVBand="1"/>
      </w:tblPr>
      <w:tblGrid>
        <w:gridCol w:w="1686"/>
        <w:gridCol w:w="1993"/>
        <w:gridCol w:w="1947"/>
        <w:gridCol w:w="1859"/>
        <w:gridCol w:w="2149"/>
      </w:tblGrid>
      <w:tr>
        <w:tblPrEx/>
        <w:trPr/>
        <w:tc>
          <w:tcPr>
            <w:tcW w:w="1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194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и (или) информации (сведений)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1859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Способы подачи документов и (или) информации, требования к представлению документов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Требования к представлению документов,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</w:tbl>
    <w:p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843"/>
        <w:gridCol w:w="2126"/>
      </w:tblGrid>
      <w:tr>
        <w:tblPrEx/>
        <w:trPr>
          <w:tblHeader/>
        </w:trPr>
        <w:tc>
          <w:tcPr>
            <w:tcW w:w="1696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W w:w="9634" w:type="dxa"/>
            <w:textDirection w:val="lrTb"/>
            <w:noWrap w:val="false"/>
          </w:tcPr>
          <w:p>
            <w:pPr>
              <w:jc w:val="both"/>
              <w:spacing w:line="240" w:lineRule="exact"/>
              <w:widowControl w:val="off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Исчерпывающий перечень документов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и информации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явление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о предоставлении лицензии на осуществление медицинской деятельности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заполняется интерактивная форма посредством Единого портала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предоставляются в одном экземпляре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(в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несение изменений в реестр лицензий)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Заявление о внесении изменений в реестр лицензий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ЭФ – заполняется интерактивная форма посредством Единого портала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white"/>
                <w:lang w:eastAsia="ru-RU"/>
              </w:rPr>
              <w:t xml:space="preserve">ицо, индивидуальный предприниматель,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white"/>
                <w:lang w:eastAsia="ru-RU"/>
              </w:rPr>
              <w:t xml:space="preserve"> (пр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екращение действия лицензии)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Заявление о прекращении медицинской деятельности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– заполняется интерактивная форма посредством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Единого портала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Юридическое лицо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ведения из реестра лицензий)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Заявление о предоставлении сведений о конкретной лицензии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– заполняется интерактивная форма посредством Единого портала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(п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Документ, удостоверяющий личность заявителя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посредством 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диного портала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предоставляются в одном экземпляре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интерактивной форме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указываются реквизиты документа, удостоверяющего личность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(п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деятельность/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лицензий/прекращение действия лицензии/сведения из реестра лицензий)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Доверенность на лицо, имеющее право действовать от имени заявителя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посредством Единого портала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предоставляются в одном экземпляре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в машиночитаемом виде доверенность, подтверждающая соответствующие полномочия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(п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Сведения, предусмотренные частью 2 статьи 13.1 Федерального закона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 международном медицинском кластере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посредством Единого портала вносятся в интерактивную форму заявления о предоставлении лицензии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Предоставляются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ностранн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ым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юридическ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– участник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проекта международного медицинского кластера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(п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Сведения 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выданном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санитарно-эпидемиологическо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заключени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(далее – СЭЗ)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 соответствии санитарным правилам зданий, строений, сооружений 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(или) помещений, необходимых для выполнения соискателем лицензии/ лицензиатом заявленных работ (услуг)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при обращении посредством Единого портала вносятся в интерактивную форму заявления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Предоставляются сведения о номере и дате выдачи СЭЗ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(п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Сведения о работниках, заключивших с соискателем лицензии/лицензиатом трудовые договоры, имеющих образо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подаются в электронной форме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при обращении посредством Единого портала вносятся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 интерактивную форму заявления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Предоставляются сведения о фамилии, имени, отчестве (при наличии), страховом номере индивидуального лицевого счета (при наличии) работников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Юридическое лицо, индивидуальный предприниматель (прекращение действия лицензии)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Запрос заинтересованного лица о предоставлении информации по вопросам лицензирования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Бумажная форма, д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окументы подаются в электронной форме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при обращении посредством электронной почты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Документы предоставляются в одном экземпляре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</w:tbl>
    <w:p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4"/>
      </w:tblGrid>
      <w:tr>
        <w:tblPrEx/>
        <w:trPr>
          <w:tblHeader/>
        </w:trPr>
        <w:tc>
          <w:tcPr>
            <w:tcW w:w="96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отсутствуют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Calibri" w:hAnsi="Calibri" w:eastAsia="Times New Roman" w:cs="Calibri"/>
          <w:color w:val="auto"/>
          <w:sz w:val="22"/>
          <w:szCs w:val="20"/>
          <w:lang w:eastAsia="ru-RU"/>
        </w:rPr>
      </w:pPr>
      <w:r>
        <w:rPr>
          <w:rFonts w:ascii="Calibri" w:hAnsi="Calibri" w:eastAsia="Times New Roman" w:cs="Calibri"/>
          <w:color w:val="auto"/>
          <w:sz w:val="22"/>
          <w:szCs w:val="20"/>
          <w:lang w:eastAsia="ru-RU"/>
        </w:rPr>
      </w:r>
      <w:r>
        <w:rPr>
          <w:rFonts w:ascii="Calibri" w:hAnsi="Calibri" w:eastAsia="Times New Roman" w:cs="Calibri"/>
          <w:color w:val="auto"/>
          <w:sz w:val="22"/>
          <w:szCs w:val="20"/>
          <w:lang w:eastAsia="ru-RU"/>
        </w:rPr>
      </w:r>
      <w:r>
        <w:rPr>
          <w:rFonts w:ascii="Calibri" w:hAnsi="Calibri" w:eastAsia="Times New Roman" w:cs="Calibri"/>
          <w:color w:val="auto"/>
          <w:sz w:val="22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 w:bidi="ru-RU"/>
        </w:rPr>
        <w:t xml:space="preserve">Приложение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 w:bidi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ru-RU" w:bidi="ru-RU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 w:bidi="ru-RU"/>
        </w:rPr>
        <w:t xml:space="preserve">к Административному регламенту, Министерства здравоохранения Камчатского края утвержденному постановлением Губернатора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 w:bidi="ru-RU"/>
        </w:rPr>
        <w:t xml:space="preserve">Камчатского края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 w:bidi="ru-RU"/>
        </w:rPr>
        <w:t xml:space="preserve">от                      №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2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auto"/>
          <w:sz w:val="22"/>
          <w:szCs w:val="20"/>
        </w:rPr>
      </w:r>
      <w:r>
        <w:rPr>
          <w:rFonts w:ascii="Times New Roman" w:hAnsi="Times New Roman" w:cs="Times New Roman"/>
          <w:color w:val="auto"/>
          <w:sz w:val="22"/>
          <w:szCs w:val="20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bookmarkEnd w:id="0"/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Исчерпывающий перечень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оснований для отказа в приеме заявления и документов,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необходимых для предоставления государственной услуги,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оснований для приостановления предоставления государственной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услуги или отказа в предоставлении государственной услуги</w:t>
      </w:r>
      <w:r>
        <w:rPr>
          <w:rFonts w:ascii="Times New Roman" w:hAnsi="Times New Roman" w:cs="Times New Roman"/>
          <w:color w:val="auto"/>
          <w:szCs w:val="28"/>
        </w:rPr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2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auto"/>
          <w:sz w:val="22"/>
          <w:szCs w:val="20"/>
        </w:rPr>
      </w:r>
      <w:r>
        <w:rPr>
          <w:rFonts w:ascii="Times New Roman" w:hAnsi="Times New Roman" w:cs="Times New Roman"/>
          <w:color w:val="auto"/>
          <w:sz w:val="22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6686"/>
        <w:gridCol w:w="231"/>
        <w:gridCol w:w="1753"/>
      </w:tblGrid>
      <w:tr>
        <w:tblPrEx/>
        <w:trPr/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69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17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Идентификаторы категорий (признаков)  заявителей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69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17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gridSpan w:val="4"/>
            <w:tcW w:w="9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691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Основания для отказа в приеме заявления и документов, необходимых для предоставления государственной услуги, не предусмотрены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17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gridSpan w:val="4"/>
            <w:tcW w:w="9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государственной услуги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W w:w="3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tcW w:w="668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Основания для приостановления предоставления государственной услуги не предусмотрены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  <w:tc>
          <w:tcPr>
            <w:gridSpan w:val="2"/>
            <w:tcW w:w="19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gridSpan w:val="4"/>
            <w:tcW w:w="9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в представленных заявителем заявлении о предоставлении государственной услуги и (или) прилагаемых к нему документах недостоверной или искаженной информации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лицо, 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/прекращение действия лицензии/сведения из реестра лицензий)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Установленное в ходе оценки несоответствие соискателя лицензии/лицензиата лицензионным требованиям, установленным Положением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у соискателя лицензии, обратившегося в Министерство с заявлением о предоставлении лицензии на осуществление медицинской деятельности, действующей лицензии на данный вид деятельности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ь)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в реестре лицензий сведений,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подлежащих внесению в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реестр лицензий согласно заявлению лицензиата, обратившегося в Министерство с заявлением о внесении изменений в реестр лицензий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 (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5103" w:right="-284"/>
        <w:jc w:val="center"/>
        <w:spacing w:after="0" w:line="240" w:lineRule="exact"/>
        <w:rPr>
          <w:rFonts w:ascii="Times New Roman" w:hAnsi="Times New Roman" w:cs="Times New Roman"/>
          <w:bCs/>
          <w:color w:val="auto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Cs/>
          <w:color w:val="auto"/>
          <w:szCs w:val="28"/>
        </w:rPr>
      </w:r>
      <w:r>
        <w:rPr>
          <w:rFonts w:ascii="Times New Roman" w:hAnsi="Times New Roman" w:cs="Times New Roman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5103" w:right="-284"/>
        <w:jc w:val="center"/>
        <w:spacing w:after="0" w:line="240" w:lineRule="exact"/>
        <w:rPr>
          <w:rFonts w:eastAsia="Calibri"/>
          <w:bCs/>
          <w:color w:val="auto"/>
          <w:szCs w:val="28"/>
        </w:rPr>
        <w:outlineLvl w:val="0"/>
      </w:pP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  <w:r>
        <w:rPr>
          <w:rFonts w:eastAsia="Calibri"/>
          <w:bCs/>
          <w:color w:val="auto"/>
          <w:szCs w:val="28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</w:rPr>
        <w:t xml:space="preserve">4</w:t>
      </w:r>
      <w:r>
        <w:rPr>
          <w:rFonts w:ascii="Times New Roman" w:hAnsi="Times New Roman" w:cs="Times New Roman"/>
          <w:color w:val="auto" w:themeColor="text1"/>
          <w:sz w:val="26"/>
          <w:szCs w:val="26"/>
        </w:rPr>
      </w:r>
      <w:r>
        <w:rPr>
          <w:rFonts w:ascii="Times New Roman" w:hAnsi="Times New Roman" w:cs="Times New Roman"/>
          <w:color w:val="auto" w:themeColor="text1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</w:rPr>
        <w:t xml:space="preserve">к Административному регламенту, Министерства здравоохранения Камчатского края утвержденному постановлением Губернатора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</w:rPr>
        <w:t xml:space="preserve">Камчатского края</w:t>
      </w:r>
      <w:r>
        <w:rPr>
          <w:rFonts w:ascii="Times New Roman" w:hAnsi="Times New Roman" w:cs="Times New Roman"/>
          <w:color w:val="auto" w:themeColor="text1"/>
          <w:sz w:val="26"/>
          <w:szCs w:val="26"/>
        </w:rPr>
      </w:r>
      <w:r>
        <w:rPr>
          <w:rFonts w:ascii="Times New Roman" w:hAnsi="Times New Roman" w:cs="Times New Roman"/>
          <w:color w:val="auto" w:themeColor="text1"/>
          <w:sz w:val="26"/>
          <w:szCs w:val="26"/>
        </w:rPr>
      </w:r>
    </w:p>
    <w:p>
      <w:pPr>
        <w:ind w:left="4940" w:firstLine="20"/>
        <w:jc w:val="both"/>
        <w:spacing w:after="0"/>
        <w:widowControl w:val="off"/>
        <w:tabs>
          <w:tab w:val="left" w:pos="8410" w:leader="none"/>
        </w:tabs>
        <w:rPr>
          <w:rFonts w:ascii="Times New Roman" w:hAnsi="Times New Roman" w:cs="Times New Roman"/>
          <w:color w:val="auto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ru-RU"/>
        </w:rPr>
        <w:t xml:space="preserve">от                      №</w:t>
      </w:r>
      <w:r>
        <w:rPr>
          <w:rFonts w:ascii="Times New Roman" w:hAnsi="Times New Roman" w:cs="Times New Roman"/>
          <w:color w:val="auto" w:themeColor="text1"/>
          <w:sz w:val="26"/>
          <w:szCs w:val="26"/>
        </w:rPr>
      </w:r>
      <w:r>
        <w:rPr>
          <w:rFonts w:ascii="Times New Roman" w:hAnsi="Times New Roman" w:cs="Times New Roman"/>
          <w:color w:val="auto" w:themeColor="text1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Cs/>
          <w:color w:val="000000" w:themeColor="text1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Формы</w:t>
      </w:r>
      <w:r>
        <w:rPr>
          <w:rFonts w:ascii="Times New Roman" w:hAnsi="Times New Roman" w:cs="Times New Roman"/>
          <w:bCs/>
          <w:color w:val="000000" w:themeColor="text1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Cs/>
          <w:color w:val="000000" w:themeColor="text1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запросов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color w:val="000000" w:themeColor="text1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Cs w:val="28"/>
        </w:rPr>
      </w:r>
    </w:p>
    <w:p>
      <w:pPr>
        <w:jc w:val="right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tbl>
      <w:tblPr>
        <w:tblW w:w="9640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2"/>
        <w:gridCol w:w="2268"/>
        <w:gridCol w:w="4110"/>
        <w:gridCol w:w="2410"/>
      </w:tblGrid>
      <w:tr>
        <w:tblPrEx/>
        <w:trPr>
          <w:trHeight w:val="1125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lang w:eastAsia="ru-RU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lang w:eastAsia="ru-RU"/>
              </w:rPr>
              <w:t xml:space="preserve">Наименование запроса о предоставлении государственной услуги 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lang w:eastAsia="ru-RU"/>
              </w:rPr>
              <w:t xml:space="preserve">Форма запроса о предоставлении государственной услуги и документов, необходимых для предоставления государственной услуги/способ предоставления запроса о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629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предприниматель, иностранное юридическое лицо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олучение лицензии на медицинскую деятельност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lang w:eastAsia="ru-RU"/>
              </w:rPr>
              <w:t xml:space="preserve">ь)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Заявление о предоставлении лицензии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Интерактивная форма посредством Единого портала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696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eastAsia="ru-RU"/>
              </w:rPr>
              <w:t xml:space="preserve">Юридическое лицо, индивидуальный предприниматель (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внесение изменений в реестр лицензий)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Заявление о внесении изменений в реестр лицензий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Интерактивная форма посредством Единого портала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836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 xml:space="preserve">Юридическое лицо, индивидуальный предприниматель 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 xml:space="preserve"> (п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рекращение действия лицензии)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Заявление о прекращении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действия лицензии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Интерактивная форма посредством Единого портала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836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Физическое лицо, индивидуальный предприниматель, юридическое лицо </w:t>
            </w: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 xml:space="preserve"> (с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ведения из реестра лицензий)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Заявление о предоставлении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сведений о конкретной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лицензи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Интерактивная форма посредством Единого портала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836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Физическое лицо, индивидуальный предприниматель, юридическое лицо 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редоставление информации по вопросам лицензирования)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Запрос о предоставлении информации по вопросам лицензирования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Форма запроса не предусмотрена, посредством почтовой связи либо электронной почтой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ind w:left="-567"/>
        <w:spacing w:after="0" w:line="25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-567"/>
        <w:spacing w:after="0" w:line="25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33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4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5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6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32"/>
    <w:next w:val="832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38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32"/>
    <w:next w:val="832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38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32"/>
    <w:next w:val="832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38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32"/>
    <w:next w:val="832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38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32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character" w:styleId="689">
    <w:name w:val="Title Char"/>
    <w:basedOn w:val="838"/>
    <w:link w:val="880"/>
    <w:uiPriority w:val="10"/>
    <w:rPr>
      <w:sz w:val="48"/>
      <w:szCs w:val="48"/>
    </w:rPr>
  </w:style>
  <w:style w:type="character" w:styleId="690">
    <w:name w:val="Subtitle Char"/>
    <w:basedOn w:val="838"/>
    <w:link w:val="878"/>
    <w:uiPriority w:val="11"/>
    <w:rPr>
      <w:sz w:val="24"/>
      <w:szCs w:val="24"/>
    </w:rPr>
  </w:style>
  <w:style w:type="paragraph" w:styleId="691">
    <w:name w:val="Quote"/>
    <w:basedOn w:val="832"/>
    <w:next w:val="832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32"/>
    <w:next w:val="832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38"/>
    <w:link w:val="853"/>
    <w:uiPriority w:val="99"/>
  </w:style>
  <w:style w:type="character" w:styleId="696">
    <w:name w:val="Footer Char"/>
    <w:basedOn w:val="838"/>
    <w:link w:val="842"/>
    <w:uiPriority w:val="99"/>
  </w:style>
  <w:style w:type="paragraph" w:styleId="697">
    <w:name w:val="Caption"/>
    <w:basedOn w:val="832"/>
    <w:next w:val="83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38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32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38"/>
    <w:uiPriority w:val="99"/>
    <w:unhideWhenUsed/>
    <w:rPr>
      <w:vertAlign w:val="superscript"/>
    </w:rPr>
  </w:style>
  <w:style w:type="paragraph" w:styleId="827">
    <w:name w:val="endnote text"/>
    <w:basedOn w:val="832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38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link w:val="841"/>
    <w:qFormat/>
  </w:style>
  <w:style w:type="paragraph" w:styleId="833">
    <w:name w:val="Heading 1"/>
    <w:next w:val="832"/>
    <w:link w:val="86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34">
    <w:name w:val="Heading 2"/>
    <w:next w:val="832"/>
    <w:link w:val="88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35">
    <w:name w:val="Heading 3"/>
    <w:next w:val="832"/>
    <w:link w:val="85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36">
    <w:name w:val="Heading 4"/>
    <w:next w:val="832"/>
    <w:link w:val="88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37">
    <w:name w:val="Heading 5"/>
    <w:next w:val="832"/>
    <w:link w:val="85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Обычный1"/>
  </w:style>
  <w:style w:type="paragraph" w:styleId="842">
    <w:name w:val="Footer"/>
    <w:basedOn w:val="832"/>
    <w:link w:val="84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43" w:customStyle="1">
    <w:name w:val="Нижний колонтитул Знак"/>
    <w:basedOn w:val="841"/>
    <w:link w:val="842"/>
    <w:rPr>
      <w:rFonts w:ascii="Times New Roman" w:hAnsi="Times New Roman"/>
      <w:sz w:val="28"/>
    </w:rPr>
  </w:style>
  <w:style w:type="paragraph" w:styleId="844">
    <w:name w:val="toc 2"/>
    <w:next w:val="832"/>
    <w:link w:val="845"/>
    <w:uiPriority w:val="39"/>
    <w:pPr>
      <w:ind w:left="200"/>
    </w:pPr>
    <w:rPr>
      <w:rFonts w:ascii="XO Thames" w:hAnsi="XO Thames"/>
      <w:sz w:val="28"/>
    </w:rPr>
  </w:style>
  <w:style w:type="character" w:styleId="845" w:customStyle="1">
    <w:name w:val="Оглавление 2 Знак"/>
    <w:link w:val="844"/>
    <w:rPr>
      <w:rFonts w:ascii="XO Thames" w:hAnsi="XO Thames"/>
      <w:sz w:val="28"/>
    </w:rPr>
  </w:style>
  <w:style w:type="paragraph" w:styleId="846">
    <w:name w:val="toc 4"/>
    <w:next w:val="832"/>
    <w:link w:val="847"/>
    <w:uiPriority w:val="39"/>
    <w:pPr>
      <w:ind w:left="600"/>
    </w:pPr>
    <w:rPr>
      <w:rFonts w:ascii="XO Thames" w:hAnsi="XO Thames"/>
      <w:sz w:val="28"/>
    </w:rPr>
  </w:style>
  <w:style w:type="character" w:styleId="847" w:customStyle="1">
    <w:name w:val="Оглавление 4 Знак"/>
    <w:link w:val="846"/>
    <w:rPr>
      <w:rFonts w:ascii="XO Thames" w:hAnsi="XO Thames"/>
      <w:sz w:val="28"/>
    </w:rPr>
  </w:style>
  <w:style w:type="paragraph" w:styleId="848">
    <w:name w:val="toc 6"/>
    <w:next w:val="832"/>
    <w:link w:val="849"/>
    <w:uiPriority w:val="39"/>
    <w:pPr>
      <w:ind w:left="1000"/>
    </w:pPr>
    <w:rPr>
      <w:rFonts w:ascii="XO Thames" w:hAnsi="XO Thames"/>
      <w:sz w:val="28"/>
    </w:rPr>
  </w:style>
  <w:style w:type="character" w:styleId="849" w:customStyle="1">
    <w:name w:val="Оглавление 6 Знак"/>
    <w:link w:val="848"/>
    <w:rPr>
      <w:rFonts w:ascii="XO Thames" w:hAnsi="XO Thames"/>
      <w:sz w:val="28"/>
    </w:rPr>
  </w:style>
  <w:style w:type="paragraph" w:styleId="850">
    <w:name w:val="toc 7"/>
    <w:next w:val="832"/>
    <w:link w:val="851"/>
    <w:uiPriority w:val="39"/>
    <w:pPr>
      <w:ind w:left="1200"/>
    </w:pPr>
    <w:rPr>
      <w:rFonts w:ascii="XO Thames" w:hAnsi="XO Thames"/>
      <w:sz w:val="28"/>
    </w:rPr>
  </w:style>
  <w:style w:type="character" w:styleId="851" w:customStyle="1">
    <w:name w:val="Оглавление 7 Знак"/>
    <w:link w:val="850"/>
    <w:rPr>
      <w:rFonts w:ascii="XO Thames" w:hAnsi="XO Thames"/>
      <w:sz w:val="28"/>
    </w:rPr>
  </w:style>
  <w:style w:type="character" w:styleId="852" w:customStyle="1">
    <w:name w:val="Заголовок 3 Знак"/>
    <w:link w:val="835"/>
    <w:rPr>
      <w:rFonts w:ascii="XO Thames" w:hAnsi="XO Thames"/>
      <w:b/>
      <w:sz w:val="26"/>
    </w:rPr>
  </w:style>
  <w:style w:type="paragraph" w:styleId="853">
    <w:name w:val="Header"/>
    <w:basedOn w:val="832"/>
    <w:link w:val="85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1"/>
    <w:link w:val="853"/>
    <w:uiPriority w:val="99"/>
  </w:style>
  <w:style w:type="paragraph" w:styleId="855">
    <w:name w:val="Plain Text"/>
    <w:basedOn w:val="832"/>
    <w:link w:val="856"/>
    <w:pPr>
      <w:spacing w:after="0" w:line="240" w:lineRule="auto"/>
    </w:pPr>
    <w:rPr>
      <w:rFonts w:ascii="Calibri" w:hAnsi="Calibri"/>
    </w:rPr>
  </w:style>
  <w:style w:type="character" w:styleId="856" w:customStyle="1">
    <w:name w:val="Текст Знак"/>
    <w:basedOn w:val="841"/>
    <w:link w:val="855"/>
    <w:rPr>
      <w:rFonts w:ascii="Calibri" w:hAnsi="Calibri"/>
    </w:rPr>
  </w:style>
  <w:style w:type="paragraph" w:styleId="857">
    <w:name w:val="toc 3"/>
    <w:next w:val="832"/>
    <w:link w:val="858"/>
    <w:uiPriority w:val="39"/>
    <w:pPr>
      <w:ind w:left="400"/>
    </w:pPr>
    <w:rPr>
      <w:rFonts w:ascii="XO Thames" w:hAnsi="XO Thames"/>
      <w:sz w:val="28"/>
    </w:rPr>
  </w:style>
  <w:style w:type="character" w:styleId="858" w:customStyle="1">
    <w:name w:val="Оглавление 3 Знак"/>
    <w:link w:val="857"/>
    <w:rPr>
      <w:rFonts w:ascii="XO Thames" w:hAnsi="XO Thames"/>
      <w:sz w:val="28"/>
    </w:rPr>
  </w:style>
  <w:style w:type="character" w:styleId="859" w:customStyle="1">
    <w:name w:val="Заголовок 5 Знак"/>
    <w:link w:val="837"/>
    <w:rPr>
      <w:rFonts w:ascii="XO Thames" w:hAnsi="XO Thames"/>
      <w:b/>
      <w:sz w:val="22"/>
    </w:rPr>
  </w:style>
  <w:style w:type="character" w:styleId="860" w:customStyle="1">
    <w:name w:val="Заголовок 1 Знак"/>
    <w:link w:val="833"/>
    <w:rPr>
      <w:rFonts w:ascii="XO Thames" w:hAnsi="XO Thames"/>
      <w:b/>
      <w:sz w:val="32"/>
    </w:rPr>
  </w:style>
  <w:style w:type="paragraph" w:styleId="861" w:customStyle="1">
    <w:name w:val="Основной шрифт абзаца1"/>
  </w:style>
  <w:style w:type="paragraph" w:styleId="862" w:customStyle="1">
    <w:name w:val="Гиперссылка1"/>
    <w:basedOn w:val="861"/>
    <w:link w:val="863"/>
    <w:rPr>
      <w:color w:val="0563c1" w:themeColor="hyperlink"/>
      <w:u w:val="single"/>
    </w:rPr>
  </w:style>
  <w:style w:type="character" w:styleId="863">
    <w:name w:val="Hyperlink"/>
    <w:basedOn w:val="838"/>
    <w:link w:val="862"/>
    <w:rPr>
      <w:color w:val="0563c1" w:themeColor="hyperlink"/>
      <w:u w:val="single"/>
    </w:rPr>
  </w:style>
  <w:style w:type="paragraph" w:styleId="864" w:customStyle="1">
    <w:name w:val="Footnote"/>
    <w:link w:val="865"/>
    <w:pPr>
      <w:ind w:firstLine="851"/>
      <w:jc w:val="both"/>
    </w:pPr>
    <w:rPr>
      <w:rFonts w:ascii="XO Thames" w:hAnsi="XO Thames"/>
    </w:rPr>
  </w:style>
  <w:style w:type="character" w:styleId="865" w:customStyle="1">
    <w:name w:val="Footnote"/>
    <w:link w:val="864"/>
    <w:rPr>
      <w:rFonts w:ascii="XO Thames" w:hAnsi="XO Thames"/>
      <w:sz w:val="22"/>
    </w:rPr>
  </w:style>
  <w:style w:type="paragraph" w:styleId="866">
    <w:name w:val="toc 1"/>
    <w:next w:val="832"/>
    <w:link w:val="867"/>
    <w:uiPriority w:val="39"/>
    <w:rPr>
      <w:rFonts w:ascii="XO Thames" w:hAnsi="XO Thames"/>
      <w:b/>
      <w:sz w:val="28"/>
    </w:rPr>
  </w:style>
  <w:style w:type="character" w:styleId="867" w:customStyle="1">
    <w:name w:val="Оглавление 1 Знак"/>
    <w:link w:val="866"/>
    <w:rPr>
      <w:rFonts w:ascii="XO Thames" w:hAnsi="XO Thames"/>
      <w:b/>
      <w:sz w:val="28"/>
    </w:rPr>
  </w:style>
  <w:style w:type="paragraph" w:styleId="868" w:customStyle="1">
    <w:name w:val="Header and Footer"/>
    <w:link w:val="869"/>
    <w:pPr>
      <w:jc w:val="both"/>
      <w:spacing w:line="240" w:lineRule="auto"/>
    </w:pPr>
    <w:rPr>
      <w:rFonts w:ascii="XO Thames" w:hAnsi="XO Thames"/>
      <w:sz w:val="20"/>
    </w:rPr>
  </w:style>
  <w:style w:type="character" w:styleId="869" w:customStyle="1">
    <w:name w:val="Header and Footer"/>
    <w:link w:val="868"/>
    <w:rPr>
      <w:rFonts w:ascii="XO Thames" w:hAnsi="XO Thames"/>
      <w:sz w:val="20"/>
    </w:rPr>
  </w:style>
  <w:style w:type="paragraph" w:styleId="870">
    <w:name w:val="toc 9"/>
    <w:next w:val="832"/>
    <w:link w:val="871"/>
    <w:uiPriority w:val="39"/>
    <w:pPr>
      <w:ind w:left="1600"/>
    </w:pPr>
    <w:rPr>
      <w:rFonts w:ascii="XO Thames" w:hAnsi="XO Thames"/>
      <w:sz w:val="28"/>
    </w:rPr>
  </w:style>
  <w:style w:type="character" w:styleId="871" w:customStyle="1">
    <w:name w:val="Оглавление 9 Знак"/>
    <w:link w:val="870"/>
    <w:rPr>
      <w:rFonts w:ascii="XO Thames" w:hAnsi="XO Thames"/>
      <w:sz w:val="28"/>
    </w:rPr>
  </w:style>
  <w:style w:type="paragraph" w:styleId="872">
    <w:name w:val="toc 8"/>
    <w:next w:val="832"/>
    <w:link w:val="873"/>
    <w:uiPriority w:val="39"/>
    <w:pPr>
      <w:ind w:left="1400"/>
    </w:pPr>
    <w:rPr>
      <w:rFonts w:ascii="XO Thames" w:hAnsi="XO Thames"/>
      <w:sz w:val="28"/>
    </w:rPr>
  </w:style>
  <w:style w:type="character" w:styleId="873" w:customStyle="1">
    <w:name w:val="Оглавление 8 Знак"/>
    <w:link w:val="872"/>
    <w:rPr>
      <w:rFonts w:ascii="XO Thames" w:hAnsi="XO Thames"/>
      <w:sz w:val="28"/>
    </w:rPr>
  </w:style>
  <w:style w:type="paragraph" w:styleId="874">
    <w:name w:val="toc 5"/>
    <w:next w:val="832"/>
    <w:link w:val="875"/>
    <w:uiPriority w:val="39"/>
    <w:pPr>
      <w:ind w:left="800"/>
    </w:pPr>
    <w:rPr>
      <w:rFonts w:ascii="XO Thames" w:hAnsi="XO Thames"/>
      <w:sz w:val="28"/>
    </w:rPr>
  </w:style>
  <w:style w:type="character" w:styleId="875" w:customStyle="1">
    <w:name w:val="Оглавление 5 Знак"/>
    <w:link w:val="874"/>
    <w:rPr>
      <w:rFonts w:ascii="XO Thames" w:hAnsi="XO Thames"/>
      <w:sz w:val="28"/>
    </w:rPr>
  </w:style>
  <w:style w:type="paragraph" w:styleId="876">
    <w:name w:val="Balloon Text"/>
    <w:basedOn w:val="832"/>
    <w:link w:val="877"/>
    <w:pPr>
      <w:spacing w:after="0" w:line="240" w:lineRule="auto"/>
    </w:pPr>
    <w:rPr>
      <w:rFonts w:ascii="Segoe UI" w:hAnsi="Segoe UI"/>
      <w:sz w:val="18"/>
    </w:rPr>
  </w:style>
  <w:style w:type="character" w:styleId="877" w:customStyle="1">
    <w:name w:val="Текст выноски Знак"/>
    <w:basedOn w:val="841"/>
    <w:link w:val="876"/>
    <w:rPr>
      <w:rFonts w:ascii="Segoe UI" w:hAnsi="Segoe UI"/>
      <w:sz w:val="18"/>
    </w:rPr>
  </w:style>
  <w:style w:type="paragraph" w:styleId="878">
    <w:name w:val="Subtitle"/>
    <w:next w:val="832"/>
    <w:link w:val="87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9" w:customStyle="1">
    <w:name w:val="Подзаголовок Знак"/>
    <w:link w:val="878"/>
    <w:rPr>
      <w:rFonts w:ascii="XO Thames" w:hAnsi="XO Thames"/>
      <w:i/>
      <w:sz w:val="24"/>
    </w:rPr>
  </w:style>
  <w:style w:type="paragraph" w:styleId="880">
    <w:name w:val="Title"/>
    <w:next w:val="832"/>
    <w:link w:val="88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1" w:customStyle="1">
    <w:name w:val="Название Знак"/>
    <w:link w:val="880"/>
    <w:rPr>
      <w:rFonts w:ascii="XO Thames" w:hAnsi="XO Thames"/>
      <w:b/>
      <w:caps/>
      <w:sz w:val="40"/>
    </w:rPr>
  </w:style>
  <w:style w:type="character" w:styleId="882" w:customStyle="1">
    <w:name w:val="Заголовок 4 Знак"/>
    <w:link w:val="836"/>
    <w:rPr>
      <w:rFonts w:ascii="XO Thames" w:hAnsi="XO Thames"/>
      <w:b/>
      <w:sz w:val="24"/>
    </w:rPr>
  </w:style>
  <w:style w:type="character" w:styleId="883" w:customStyle="1">
    <w:name w:val="Заголовок 2 Знак"/>
    <w:link w:val="834"/>
    <w:rPr>
      <w:rFonts w:ascii="XO Thames" w:hAnsi="XO Thames"/>
      <w:b/>
      <w:sz w:val="28"/>
    </w:rPr>
  </w:style>
  <w:style w:type="table" w:styleId="884">
    <w:name w:val="Table Grid"/>
    <w:basedOn w:val="8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2"/>
    <w:basedOn w:val="83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 w:customStyle="1">
    <w:name w:val="Сетка таблицы1"/>
    <w:basedOn w:val="83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Клинов Вячеслав Евгеньевич</cp:lastModifiedBy>
  <cp:revision>14</cp:revision>
  <dcterms:created xsi:type="dcterms:W3CDTF">2025-01-31T01:49:00Z</dcterms:created>
  <dcterms:modified xsi:type="dcterms:W3CDTF">2026-05-15T04:08:37Z</dcterms:modified>
</cp:coreProperties>
</file>