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A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ЭКОНОМИЧЕСКОГО РАЗВИТИЯ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widowControl w:val="0"/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Layout w:type="fixed"/>
      </w:tblPr>
      <w:tblGrid>
        <w:gridCol w:w="9637"/>
      </w:tblGrid>
      <w:tr>
        <w:trPr>
          <w:trHeight w:hRule="atLeast" w:val="962"/>
        </w:trPr>
        <w:tc>
          <w:tcPr>
            <w:tcW w:type="dxa" w:w="96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</w:t>
            </w:r>
            <w:r>
              <w:rPr>
                <w:rFonts w:ascii="Times New Roman" w:hAnsi="Times New Roman"/>
                <w:b w:val="1"/>
                <w:sz w:val="28"/>
              </w:rPr>
              <w:t xml:space="preserve">внесении изменений в приказ Министерства экономического </w:t>
            </w:r>
            <w:r>
              <w:rPr>
                <w:rStyle w:val="Style_2_ch"/>
                <w:rFonts w:ascii="Times New Roman" w:hAnsi="Times New Roman"/>
                <w:b w:val="1"/>
                <w:sz w:val="28"/>
              </w:rPr>
              <w:t xml:space="preserve">развития и торговли </w:t>
            </w:r>
            <w:r>
              <w:rPr>
                <w:rStyle w:val="Style_2_ch"/>
                <w:rFonts w:ascii="Times New Roman" w:hAnsi="Times New Roman"/>
                <w:b w:val="1"/>
                <w:sz w:val="28"/>
              </w:rPr>
              <w:t xml:space="preserve">Камчатского </w:t>
            </w:r>
            <w:r>
              <w:rPr>
                <w:rFonts w:ascii="Times New Roman" w:hAnsi="Times New Roman"/>
                <w:b w:val="1"/>
                <w:sz w:val="28"/>
              </w:rPr>
              <w:t xml:space="preserve">края </w:t>
            </w:r>
            <w:r>
              <w:rPr>
                <w:rFonts w:ascii="Times New Roman" w:hAnsi="Times New Roman"/>
                <w:b w:val="1"/>
                <w:sz w:val="28"/>
              </w:rPr>
              <w:t>от 23.05.2014 № 290-П «О Порядке разработки и утверждения органами местного самоуправления муниципальных образований в Камчатском крае схемы размещения нестационарных торговых объектов»</w:t>
            </w:r>
          </w:p>
        </w:tc>
      </w:tr>
    </w:tbl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9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</w:t>
      </w:r>
      <w:r>
        <w:rPr>
          <w:rStyle w:val="Style_2_ch"/>
          <w:rFonts w:ascii="Times New Roman" w:hAnsi="Times New Roman"/>
          <w:sz w:val="28"/>
        </w:rPr>
        <w:t>т</w:t>
      </w:r>
      <w:r>
        <w:rPr>
          <w:rStyle w:val="Style_2_ch"/>
          <w:rFonts w:ascii="Times New Roman" w:hAnsi="Times New Roman"/>
          <w:sz w:val="28"/>
        </w:rPr>
        <w:t xml:space="preserve">и </w:t>
      </w:r>
      <w:r>
        <w:rPr>
          <w:rStyle w:val="Style_2_ch"/>
          <w:rFonts w:ascii="Times New Roman" w:hAnsi="Times New Roman"/>
          <w:sz w:val="28"/>
        </w:rPr>
        <w:t>в</w:t>
      </w:r>
      <w:r>
        <w:rPr>
          <w:rStyle w:val="Style_2_ch"/>
          <w:rFonts w:ascii="Times New Roman" w:hAnsi="Times New Roman"/>
          <w:sz w:val="28"/>
        </w:rPr>
        <w:t xml:space="preserve"> приказ Министерства экономического </w:t>
      </w:r>
      <w:r>
        <w:rPr>
          <w:rStyle w:val="Style_2_ch"/>
          <w:rFonts w:ascii="Times New Roman" w:hAnsi="Times New Roman"/>
          <w:sz w:val="28"/>
        </w:rPr>
        <w:t xml:space="preserve">развития и торговли </w:t>
      </w:r>
      <w:r>
        <w:rPr>
          <w:rStyle w:val="Style_2_ch"/>
          <w:rFonts w:ascii="Times New Roman" w:hAnsi="Times New Roman"/>
          <w:sz w:val="28"/>
        </w:rPr>
        <w:t xml:space="preserve">Камчатского </w:t>
      </w:r>
      <w:r>
        <w:rPr>
          <w:rStyle w:val="Style_2_ch"/>
          <w:rFonts w:ascii="Times New Roman" w:hAnsi="Times New Roman"/>
          <w:sz w:val="28"/>
        </w:rPr>
        <w:t xml:space="preserve">края </w:t>
      </w:r>
      <w:r>
        <w:rPr>
          <w:rStyle w:val="Style_2_ch"/>
          <w:rFonts w:ascii="Times New Roman" w:hAnsi="Times New Roman"/>
          <w:sz w:val="28"/>
        </w:rPr>
        <w:t>от 23.05.2014 № 290-П «О Порядке разработки и утверждения органами местного самоуправления муниципальных образований в Камчатском крае схемы размещения нестационарных торговых объектов»</w:t>
      </w:r>
      <w:r>
        <w:rPr>
          <w:rStyle w:val="Style_2_ch"/>
          <w:rFonts w:ascii="Times New Roman" w:hAnsi="Times New Roman"/>
          <w:sz w:val="28"/>
        </w:rPr>
        <w:t xml:space="preserve"> изменения согласно </w:t>
      </w:r>
      <w:r>
        <w:rPr>
          <w:rStyle w:val="Style_2_ch"/>
          <w:rFonts w:ascii="Times New Roman" w:hAnsi="Times New Roman"/>
          <w:sz w:val="28"/>
        </w:rPr>
        <w:t>приложению</w:t>
      </w:r>
      <w:r>
        <w:rPr>
          <w:rStyle w:val="Style_2_ch"/>
          <w:rFonts w:ascii="Times New Roman" w:hAnsi="Times New Roman"/>
          <w:sz w:val="28"/>
        </w:rPr>
        <w:t xml:space="preserve"> к настоящему приказу.</w:t>
      </w:r>
    </w:p>
    <w:p w14:paraId="1B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trike w:val="0"/>
          <w:sz w:val="28"/>
          <w:u w:val="none"/>
        </w:rPr>
        <w:t>Настоящий приказ вступает в силу с 1 сентября 2026</w:t>
      </w:r>
      <w:r>
        <w:rPr>
          <w:rFonts w:ascii="Times New Roman" w:hAnsi="Times New Roman"/>
          <w:sz w:val="28"/>
        </w:rPr>
        <w:t xml:space="preserve"> года.</w:t>
      </w:r>
    </w:p>
    <w:p w14:paraId="1C000000">
      <w:pPr>
        <w:pStyle w:val="Style_5"/>
        <w:tabs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2974"/>
        <w:gridCol w:w="4395"/>
        <w:gridCol w:w="2271"/>
      </w:tblGrid>
      <w:tr>
        <w:trPr>
          <w:trHeight w:hRule="atLeast" w:val="2220"/>
        </w:trPr>
        <w:tc>
          <w:tcPr>
            <w:tcW w:type="dxa" w:w="297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widowControl w:val="0"/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0000000">
            <w:pPr>
              <w:widowControl w:val="0"/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71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Г.А. Басова</w:t>
            </w:r>
          </w:p>
        </w:tc>
      </w:tr>
    </w:tbl>
    <w:p w14:paraId="23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5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</w:p>
    <w:p w14:paraId="26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</w:p>
    <w:p w14:paraId="27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</w:p>
    <w:p w14:paraId="28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</w:p>
    <w:p w14:paraId="29000000">
      <w:pPr>
        <w:widowControl w:val="0"/>
        <w:tabs>
          <w:tab w:leader="none" w:pos="8222" w:val="left"/>
        </w:tabs>
        <w:spacing w:after="0" w:line="240" w:lineRule="auto"/>
        <w:ind w:firstLine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 w14:paraId="2A000000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экономического развития Камчатского </w:t>
      </w:r>
      <w:r>
        <w:rPr>
          <w:rFonts w:ascii="Times New Roman" w:hAnsi="Times New Roman"/>
          <w:sz w:val="28"/>
        </w:rPr>
        <w:t>края</w:t>
      </w:r>
    </w:p>
    <w:tbl>
      <w:tblPr>
        <w:tblStyle w:val="Style_3"/>
        <w:tblW w:type="auto" w:w="0"/>
        <w:tblInd w:type="dxa" w:w="506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0"/>
        <w:gridCol w:w="1869"/>
        <w:gridCol w:w="486"/>
        <w:gridCol w:w="1701"/>
      </w:tblGrid>
      <w:tr>
        <w:tc>
          <w:tcPr>
            <w:tcW w:type="dxa" w:w="44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60" w:line="240" w:lineRule="auto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6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6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6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14:paraId="3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в </w:t>
      </w:r>
      <w:r>
        <w:rPr>
          <w:rStyle w:val="Style_2_ch"/>
          <w:rFonts w:ascii="Times New Roman" w:hAnsi="Times New Roman"/>
          <w:sz w:val="28"/>
        </w:rPr>
        <w:t xml:space="preserve">приказ Министерства экономического </w:t>
      </w:r>
      <w:r>
        <w:rPr>
          <w:rStyle w:val="Style_2_ch"/>
          <w:rFonts w:ascii="Times New Roman" w:hAnsi="Times New Roman"/>
          <w:sz w:val="28"/>
        </w:rPr>
        <w:t xml:space="preserve">развития и торговли </w:t>
      </w:r>
      <w:r>
        <w:rPr>
          <w:rStyle w:val="Style_2_ch"/>
          <w:rFonts w:ascii="Times New Roman" w:hAnsi="Times New Roman"/>
          <w:sz w:val="28"/>
        </w:rPr>
        <w:t xml:space="preserve">Камчатского </w:t>
      </w:r>
      <w:r>
        <w:rPr>
          <w:rStyle w:val="Style_2_ch"/>
          <w:rFonts w:ascii="Times New Roman" w:hAnsi="Times New Roman"/>
          <w:sz w:val="28"/>
        </w:rPr>
        <w:t xml:space="preserve">края </w:t>
      </w:r>
      <w:r>
        <w:rPr>
          <w:rStyle w:val="Style_2_ch"/>
          <w:rFonts w:ascii="Times New Roman" w:hAnsi="Times New Roman"/>
          <w:sz w:val="28"/>
        </w:rPr>
        <w:t>от 23.05.2014 № 290-П «О Порядке разработки и утверждения органами местного самоуправления муниципальных образований в Камчатском крае схемы размещения нестационарных торговых объектов»</w:t>
      </w: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 преамбуле слова «Постановлением Правительства Камчатского края от 27.12.2012 № 590-П» заменить словами «п</w:t>
      </w:r>
      <w:r>
        <w:rPr>
          <w:rFonts w:ascii="Times New Roman" w:hAnsi="Times New Roman"/>
          <w:sz w:val="28"/>
        </w:rPr>
        <w:t>остановлением Правительства Камчатского края от 27.12.2024 № 677-П.</w:t>
      </w:r>
    </w:p>
    <w:p w14:paraId="3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 приложении к приказу: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часть 4 изложить в следующей редакции: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«</w:t>
      </w:r>
      <w:r>
        <w:rPr>
          <w:rStyle w:val="Style_2_ch"/>
          <w:rFonts w:ascii="Times New Roman" w:hAnsi="Times New Roman"/>
          <w:sz w:val="28"/>
        </w:rPr>
        <w:t>4. Порядок размещения и использования нестационарных торговых объектов на земельных участках, в зданиях, строениях</w:t>
      </w:r>
      <w:r>
        <w:rPr>
          <w:rStyle w:val="Style_2_ch"/>
          <w:rFonts w:ascii="Times New Roman" w:hAnsi="Times New Roman"/>
          <w:sz w:val="28"/>
        </w:rPr>
        <w:t>, сооружениях, находящихся в частной собственности, устанавливается собственниками земельных участков, зданий, строений, сооружений с учетом требований, определенных законодательством Российской Федерации и законодательством Камчатского края.»;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часть 5 изложить в следующей редакции: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«5. </w:t>
      </w:r>
      <w:r>
        <w:rPr>
          <w:rStyle w:val="Style_2_ch"/>
          <w:rFonts w:ascii="Times New Roman" w:hAnsi="Times New Roman"/>
          <w:sz w:val="28"/>
        </w:rPr>
        <w:t>Для целей настоящего Порядка используются следующие понятия:</w:t>
      </w:r>
    </w:p>
    <w:p w14:paraId="3A000000">
      <w:pPr>
        <w:widowControl w:val="1"/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нестационарный торговый объект</w:t>
      </w:r>
      <w:r>
        <w:rPr>
          <w:rStyle w:val="Style_2_ch"/>
          <w:rFonts w:ascii="Times New Roman" w:hAnsi="Times New Roman"/>
          <w:sz w:val="28"/>
        </w:rPr>
        <w:t> – торговый объект, представляющий собой временное сооружение, временное строение или временн</w:t>
      </w:r>
      <w:r>
        <w:rPr>
          <w:rStyle w:val="Style_2_ch"/>
          <w:rFonts w:ascii="Times New Roman" w:hAnsi="Times New Roman"/>
          <w:sz w:val="28"/>
        </w:rPr>
        <w:t>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 (в том числе передвижное сооружение), либо мобильный торговый объект;</w:t>
      </w:r>
    </w:p>
    <w:p w14:paraId="3B000000">
      <w:pPr>
        <w:widowControl w:val="1"/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мобильный торговый объект</w:t>
      </w:r>
      <w:r>
        <w:rPr>
          <w:rStyle w:val="Style_2_ch"/>
          <w:rFonts w:ascii="Times New Roman" w:hAnsi="Times New Roman"/>
          <w:sz w:val="28"/>
        </w:rPr>
        <w:t> – нестационарный торговый объект</w:t>
      </w:r>
      <w:r>
        <w:rPr>
          <w:rStyle w:val="Style_2_ch"/>
          <w:rFonts w:ascii="Times New Roman" w:hAnsi="Times New Roman"/>
          <w:sz w:val="28"/>
        </w:rPr>
        <w:t>, представляющий собой транспортное средство, включая механическое транспортное средство или транспортное средство, предназначенное для движения в составе с механическим транспортным средством (в том числе автолавка, автомагазин, автоприцеп, автоцистерна);</w:t>
      </w:r>
    </w:p>
    <w:p w14:paraId="3C000000">
      <w:pPr>
        <w:widowControl w:val="1"/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схема размещения нестационарных торговых объектов</w:t>
      </w:r>
      <w:r>
        <w:rPr>
          <w:rStyle w:val="Style_2_ch"/>
          <w:rFonts w:ascii="Times New Roman" w:hAnsi="Times New Roman"/>
          <w:sz w:val="28"/>
        </w:rPr>
        <w:t xml:space="preserve"> (далее – Схема) – документ, содержащий сведения о местах размещения нестационарных торговых о</w:t>
      </w:r>
      <w:r>
        <w:rPr>
          <w:rStyle w:val="Style_2_ch"/>
          <w:rFonts w:ascii="Times New Roman" w:hAnsi="Times New Roman"/>
          <w:sz w:val="28"/>
        </w:rPr>
        <w:t>бъектов на территории муниципального образования, оформленный в виде таблицы и включающий</w:t>
      </w:r>
      <w:r>
        <w:rPr>
          <w:rStyle w:val="Style_2_ch"/>
          <w:rFonts w:ascii="Times New Roman" w:hAnsi="Times New Roman"/>
          <w:sz w:val="28"/>
        </w:rPr>
        <w:t xml:space="preserve"> следующую</w:t>
      </w:r>
      <w:r>
        <w:rPr>
          <w:rStyle w:val="Style_2_ch"/>
          <w:rFonts w:ascii="Times New Roman" w:hAnsi="Times New Roman"/>
          <w:sz w:val="28"/>
        </w:rPr>
        <w:t xml:space="preserve"> информ</w:t>
      </w:r>
      <w:r>
        <w:rPr>
          <w:rStyle w:val="Style_2_ch"/>
          <w:rFonts w:ascii="Times New Roman" w:hAnsi="Times New Roman"/>
          <w:sz w:val="28"/>
        </w:rPr>
        <w:t>ацию</w:t>
      </w:r>
      <w:r>
        <w:rPr>
          <w:rStyle w:val="Style_2_ch"/>
          <w:rFonts w:ascii="Times New Roman" w:hAnsi="Times New Roman"/>
          <w:sz w:val="28"/>
        </w:rPr>
        <w:t>:</w:t>
      </w:r>
    </w:p>
    <w:p w14:paraId="3D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а) номер по порядку;</w:t>
      </w:r>
    </w:p>
    <w:p w14:paraId="3E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б) номер в схеме;</w:t>
      </w:r>
    </w:p>
    <w:p w14:paraId="3F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в) адресный ориентир ближайшего к нестационарному торговому объекту объекта недвижимости/</w:t>
      </w:r>
      <w:r>
        <w:rPr>
          <w:rStyle w:val="Style_2_ch"/>
          <w:rFonts w:ascii="Times New Roman" w:hAnsi="Times New Roman"/>
          <w:sz w:val="28"/>
        </w:rPr>
        <w:t>геокоординаты точки размещения нестационарного торгового объекта</w:t>
      </w:r>
      <w:r>
        <w:rPr>
          <w:rStyle w:val="Style_2_ch"/>
          <w:rFonts w:ascii="Times New Roman" w:hAnsi="Times New Roman"/>
          <w:sz w:val="28"/>
        </w:rPr>
        <w:t>;</w:t>
      </w:r>
    </w:p>
    <w:p w14:paraId="40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г) площадь земельного участка/</w:t>
      </w:r>
      <w:r>
        <w:rPr>
          <w:rStyle w:val="Style_2_ch"/>
          <w:rFonts w:ascii="Times New Roman" w:hAnsi="Times New Roman"/>
          <w:sz w:val="28"/>
        </w:rPr>
        <w:t>площадь нестационарного торгового объекта;</w:t>
      </w:r>
    </w:p>
    <w:p w14:paraId="41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д) вид собственности земельного участка;</w:t>
      </w:r>
    </w:p>
    <w:p w14:paraId="42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е) тип нестацион</w:t>
      </w:r>
      <w:r>
        <w:rPr>
          <w:rStyle w:val="Style_2_ch"/>
          <w:rFonts w:ascii="Times New Roman" w:hAnsi="Times New Roman"/>
          <w:sz w:val="28"/>
        </w:rPr>
        <w:t xml:space="preserve">арного торгового объекта: </w:t>
      </w:r>
      <w:r>
        <w:rPr>
          <w:rStyle w:val="Style_2_ch"/>
          <w:rFonts w:ascii="Times New Roman" w:hAnsi="Times New Roman"/>
          <w:sz w:val="28"/>
        </w:rPr>
        <w:t>автоцистерна, а</w:t>
      </w:r>
      <w:r>
        <w:rPr>
          <w:rStyle w:val="Style_2_ch"/>
          <w:rFonts w:ascii="Times New Roman" w:hAnsi="Times New Roman"/>
          <w:sz w:val="28"/>
        </w:rPr>
        <w:t>втомагазин (торговый автофургон, автолавка), б</w:t>
      </w:r>
      <w:r>
        <w:rPr>
          <w:rStyle w:val="Style_2_ch"/>
          <w:rFonts w:ascii="Times New Roman" w:hAnsi="Times New Roman"/>
          <w:sz w:val="28"/>
        </w:rPr>
        <w:t>ахчевой развал, е</w:t>
      </w:r>
      <w:r>
        <w:rPr>
          <w:rStyle w:val="Style_2_ch"/>
          <w:rFonts w:ascii="Times New Roman" w:hAnsi="Times New Roman"/>
          <w:sz w:val="28"/>
        </w:rPr>
        <w:t>лочный базар, к</w:t>
      </w:r>
      <w:r>
        <w:rPr>
          <w:rStyle w:val="Style_2_ch"/>
          <w:rFonts w:ascii="Times New Roman" w:hAnsi="Times New Roman"/>
          <w:sz w:val="28"/>
        </w:rPr>
        <w:t>иоск, л</w:t>
      </w:r>
      <w:r>
        <w:rPr>
          <w:rStyle w:val="Style_2_ch"/>
          <w:rFonts w:ascii="Times New Roman" w:hAnsi="Times New Roman"/>
          <w:sz w:val="28"/>
        </w:rPr>
        <w:t>оток, о</w:t>
      </w:r>
      <w:r>
        <w:rPr>
          <w:rStyle w:val="Style_2_ch"/>
          <w:rFonts w:ascii="Times New Roman" w:hAnsi="Times New Roman"/>
          <w:sz w:val="28"/>
        </w:rPr>
        <w:t>бъект инд. образца, о</w:t>
      </w:r>
      <w:r>
        <w:rPr>
          <w:rStyle w:val="Style_2_ch"/>
          <w:rFonts w:ascii="Times New Roman" w:hAnsi="Times New Roman"/>
          <w:sz w:val="28"/>
        </w:rPr>
        <w:t>тдельно стоящее нестационарное кафе,</w:t>
      </w:r>
      <w:r>
        <w:rPr>
          <w:rStyle w:val="Style_2_ch"/>
          <w:rFonts w:ascii="Times New Roman" w:hAnsi="Times New Roman"/>
          <w:sz w:val="28"/>
        </w:rPr>
        <w:t xml:space="preserve"> п</w:t>
      </w:r>
      <w:r>
        <w:rPr>
          <w:rStyle w:val="Style_2_ch"/>
          <w:rFonts w:ascii="Times New Roman" w:hAnsi="Times New Roman"/>
          <w:sz w:val="28"/>
        </w:rPr>
        <w:t>авильон, п</w:t>
      </w:r>
      <w:r>
        <w:rPr>
          <w:rStyle w:val="Style_2_ch"/>
          <w:rFonts w:ascii="Times New Roman" w:hAnsi="Times New Roman"/>
          <w:sz w:val="28"/>
        </w:rPr>
        <w:t xml:space="preserve">рилегающее нестационарное кафе, </w:t>
      </w:r>
      <w:r>
        <w:rPr>
          <w:rStyle w:val="Style_2_ch"/>
          <w:rFonts w:ascii="Times New Roman" w:hAnsi="Times New Roman"/>
          <w:sz w:val="28"/>
        </w:rPr>
        <w:t>ш</w:t>
      </w:r>
      <w:r>
        <w:rPr>
          <w:rStyle w:val="Style_2_ch"/>
          <w:rFonts w:ascii="Times New Roman" w:hAnsi="Times New Roman"/>
          <w:sz w:val="28"/>
        </w:rPr>
        <w:t>атер, л</w:t>
      </w:r>
      <w:r>
        <w:rPr>
          <w:rStyle w:val="Style_2_ch"/>
          <w:rFonts w:ascii="Times New Roman" w:hAnsi="Times New Roman"/>
          <w:sz w:val="28"/>
        </w:rPr>
        <w:t>етнее кафе, т</w:t>
      </w:r>
      <w:r>
        <w:rPr>
          <w:rStyle w:val="Style_2_ch"/>
          <w:rFonts w:ascii="Times New Roman" w:hAnsi="Times New Roman"/>
          <w:sz w:val="28"/>
        </w:rPr>
        <w:t>ележка, т</w:t>
      </w:r>
      <w:r>
        <w:rPr>
          <w:rStyle w:val="Style_2_ch"/>
          <w:rFonts w:ascii="Times New Roman" w:hAnsi="Times New Roman"/>
          <w:sz w:val="28"/>
        </w:rPr>
        <w:t>орговый автомат (вендинговый автомат), т</w:t>
      </w:r>
      <w:r>
        <w:rPr>
          <w:rStyle w:val="Style_2_ch"/>
          <w:rFonts w:ascii="Times New Roman" w:hAnsi="Times New Roman"/>
          <w:sz w:val="28"/>
        </w:rPr>
        <w:t>рейлер, з</w:t>
      </w:r>
      <w:r>
        <w:rPr>
          <w:rStyle w:val="Style_2_ch"/>
          <w:rFonts w:ascii="Times New Roman" w:hAnsi="Times New Roman"/>
          <w:sz w:val="28"/>
        </w:rPr>
        <w:t xml:space="preserve">онтик, </w:t>
      </w:r>
      <w:r>
        <w:rPr>
          <w:rStyle w:val="Style_2_ch"/>
          <w:rFonts w:ascii="Times New Roman" w:hAnsi="Times New Roman"/>
          <w:sz w:val="28"/>
        </w:rPr>
        <w:t xml:space="preserve"> и</w:t>
      </w:r>
      <w:r>
        <w:rPr>
          <w:rStyle w:val="Style_2_ch"/>
          <w:rFonts w:ascii="Times New Roman" w:hAnsi="Times New Roman"/>
          <w:sz w:val="28"/>
        </w:rPr>
        <w:t>ной (с указанием типа)</w:t>
      </w:r>
      <w:r>
        <w:rPr>
          <w:rStyle w:val="Style_2_ch"/>
          <w:rFonts w:ascii="Times New Roman" w:hAnsi="Times New Roman"/>
          <w:sz w:val="28"/>
        </w:rPr>
        <w:t>;</w:t>
      </w:r>
    </w:p>
    <w:p w14:paraId="43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ж) </w:t>
      </w:r>
      <w:r>
        <w:rPr>
          <w:rStyle w:val="Style_2_ch"/>
          <w:rFonts w:ascii="Times New Roman" w:hAnsi="Times New Roman"/>
          <w:sz w:val="28"/>
        </w:rPr>
        <w:t>специализация нестационарного торгового объекта: продовольственная, непродовольственная;</w:t>
      </w:r>
    </w:p>
    <w:p w14:paraId="4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з) ассортимент:</w:t>
      </w:r>
      <w:r>
        <w:rPr>
          <w:rStyle w:val="Style_2_ch"/>
          <w:rFonts w:ascii="Times New Roman" w:hAnsi="Times New Roman"/>
          <w:sz w:val="28"/>
        </w:rPr>
        <w:t xml:space="preserve"> для продовольственной группы – </w:t>
      </w:r>
      <w:r>
        <w:rPr>
          <w:rStyle w:val="Style_2_ch"/>
          <w:rFonts w:ascii="Times New Roman" w:hAnsi="Times New Roman"/>
          <w:sz w:val="28"/>
        </w:rPr>
        <w:t>выпечка, х</w:t>
      </w:r>
      <w:r>
        <w:rPr>
          <w:rStyle w:val="Style_2_ch"/>
          <w:rFonts w:ascii="Times New Roman" w:hAnsi="Times New Roman"/>
          <w:sz w:val="28"/>
        </w:rPr>
        <w:t>леб, о</w:t>
      </w:r>
      <w:r>
        <w:rPr>
          <w:rStyle w:val="Style_2_ch"/>
          <w:rFonts w:ascii="Times New Roman" w:hAnsi="Times New Roman"/>
          <w:sz w:val="28"/>
        </w:rPr>
        <w:t>бщественное питание, п</w:t>
      </w:r>
      <w:r>
        <w:rPr>
          <w:rStyle w:val="Style_2_ch"/>
          <w:rFonts w:ascii="Times New Roman" w:hAnsi="Times New Roman"/>
          <w:sz w:val="28"/>
        </w:rPr>
        <w:t>рохладительные напитки, к</w:t>
      </w:r>
      <w:r>
        <w:rPr>
          <w:rStyle w:val="Style_2_ch"/>
          <w:rFonts w:ascii="Times New Roman" w:hAnsi="Times New Roman"/>
          <w:sz w:val="28"/>
        </w:rPr>
        <w:t>укуруза, м</w:t>
      </w:r>
      <w:r>
        <w:rPr>
          <w:rStyle w:val="Style_2_ch"/>
          <w:rFonts w:ascii="Times New Roman" w:hAnsi="Times New Roman"/>
          <w:sz w:val="28"/>
        </w:rPr>
        <w:t>олоко и молочная продукция, в</w:t>
      </w:r>
      <w:r>
        <w:rPr>
          <w:rStyle w:val="Style_2_ch"/>
          <w:rFonts w:ascii="Times New Roman" w:hAnsi="Times New Roman"/>
          <w:sz w:val="28"/>
        </w:rPr>
        <w:t>ода в розлив, ф</w:t>
      </w:r>
      <w:r>
        <w:rPr>
          <w:rStyle w:val="Style_2_ch"/>
          <w:rFonts w:ascii="Times New Roman" w:hAnsi="Times New Roman"/>
          <w:sz w:val="28"/>
        </w:rPr>
        <w:t>рукты, г</w:t>
      </w:r>
      <w:r>
        <w:rPr>
          <w:rStyle w:val="Style_2_ch"/>
          <w:rFonts w:ascii="Times New Roman" w:hAnsi="Times New Roman"/>
          <w:sz w:val="28"/>
        </w:rPr>
        <w:t>орячи</w:t>
      </w:r>
      <w:r>
        <w:rPr>
          <w:rStyle w:val="Style_2_ch"/>
          <w:rFonts w:ascii="Times New Roman" w:hAnsi="Times New Roman"/>
          <w:sz w:val="28"/>
        </w:rPr>
        <w:t>е напитки, м</w:t>
      </w:r>
      <w:r>
        <w:rPr>
          <w:rStyle w:val="Style_2_ch"/>
          <w:rFonts w:ascii="Times New Roman" w:hAnsi="Times New Roman"/>
          <w:sz w:val="28"/>
        </w:rPr>
        <w:t>ороженое, б</w:t>
      </w:r>
      <w:r>
        <w:rPr>
          <w:rStyle w:val="Style_2_ch"/>
          <w:rFonts w:ascii="Times New Roman" w:hAnsi="Times New Roman"/>
          <w:sz w:val="28"/>
        </w:rPr>
        <w:t>ахчевые культуры, х</w:t>
      </w:r>
      <w:r>
        <w:rPr>
          <w:rStyle w:val="Style_2_ch"/>
          <w:rFonts w:ascii="Times New Roman" w:hAnsi="Times New Roman"/>
          <w:sz w:val="28"/>
        </w:rPr>
        <w:t>лебобулочные изделия, с</w:t>
      </w:r>
      <w:r>
        <w:rPr>
          <w:rStyle w:val="Style_2_ch"/>
          <w:rFonts w:ascii="Times New Roman" w:hAnsi="Times New Roman"/>
          <w:sz w:val="28"/>
        </w:rPr>
        <w:t>неки, о</w:t>
      </w:r>
      <w:r>
        <w:rPr>
          <w:rStyle w:val="Style_2_ch"/>
          <w:rFonts w:ascii="Times New Roman" w:hAnsi="Times New Roman"/>
          <w:sz w:val="28"/>
        </w:rPr>
        <w:t>вощи, иной (с</w:t>
      </w:r>
      <w:r>
        <w:rPr>
          <w:rStyle w:val="Style_2_ch"/>
          <w:rFonts w:ascii="Times New Roman" w:hAnsi="Times New Roman"/>
          <w:sz w:val="28"/>
        </w:rPr>
        <w:t xml:space="preserve"> указанием ассортимента)</w:t>
      </w:r>
      <w:r>
        <w:rPr>
          <w:rStyle w:val="Style_2_ch"/>
          <w:rFonts w:ascii="Times New Roman" w:hAnsi="Times New Roman"/>
          <w:sz w:val="28"/>
        </w:rPr>
        <w:t>, для непродовольственной группы –</w:t>
      </w:r>
      <w:r>
        <w:rPr>
          <w:rStyle w:val="Style_2_ch"/>
          <w:rFonts w:ascii="Times New Roman" w:hAnsi="Times New Roman"/>
          <w:sz w:val="28"/>
        </w:rPr>
        <w:t xml:space="preserve"> а</w:t>
      </w:r>
      <w:r>
        <w:rPr>
          <w:rStyle w:val="Style_2_ch"/>
          <w:rFonts w:ascii="Times New Roman" w:hAnsi="Times New Roman"/>
          <w:sz w:val="28"/>
        </w:rPr>
        <w:t>ксессуары, а</w:t>
      </w:r>
      <w:r>
        <w:rPr>
          <w:rStyle w:val="Style_2_ch"/>
          <w:rFonts w:ascii="Times New Roman" w:hAnsi="Times New Roman"/>
          <w:sz w:val="28"/>
        </w:rPr>
        <w:t>втотовары, к</w:t>
      </w:r>
      <w:r>
        <w:rPr>
          <w:rStyle w:val="Style_2_ch"/>
          <w:rFonts w:ascii="Times New Roman" w:hAnsi="Times New Roman"/>
          <w:sz w:val="28"/>
        </w:rPr>
        <w:t>ниги,</w:t>
      </w:r>
      <w:r>
        <w:rPr>
          <w:rStyle w:val="Style_2_ch"/>
          <w:rFonts w:ascii="Times New Roman" w:hAnsi="Times New Roman"/>
          <w:sz w:val="28"/>
        </w:rPr>
        <w:t xml:space="preserve"> детские товары, о</w:t>
      </w:r>
      <w:r>
        <w:rPr>
          <w:rStyle w:val="Style_2_ch"/>
          <w:rFonts w:ascii="Times New Roman" w:hAnsi="Times New Roman"/>
          <w:sz w:val="28"/>
        </w:rPr>
        <w:t>дежда, с</w:t>
      </w:r>
      <w:r>
        <w:rPr>
          <w:rStyle w:val="Style_2_ch"/>
          <w:rFonts w:ascii="Times New Roman" w:hAnsi="Times New Roman"/>
          <w:sz w:val="28"/>
        </w:rPr>
        <w:t>троительные материалы и хозяйственные товары, ц</w:t>
      </w:r>
      <w:r>
        <w:rPr>
          <w:rStyle w:val="Style_2_ch"/>
          <w:rFonts w:ascii="Times New Roman" w:hAnsi="Times New Roman"/>
          <w:sz w:val="28"/>
        </w:rPr>
        <w:t>веты, п</w:t>
      </w:r>
      <w:r>
        <w:rPr>
          <w:rStyle w:val="Style_2_ch"/>
          <w:rFonts w:ascii="Times New Roman" w:hAnsi="Times New Roman"/>
          <w:sz w:val="28"/>
        </w:rPr>
        <w:t>одарки, г</w:t>
      </w:r>
      <w:r>
        <w:rPr>
          <w:rStyle w:val="Style_2_ch"/>
          <w:rFonts w:ascii="Times New Roman" w:hAnsi="Times New Roman"/>
          <w:sz w:val="28"/>
        </w:rPr>
        <w:t>алантерейные товары, х</w:t>
      </w:r>
      <w:r>
        <w:rPr>
          <w:rStyle w:val="Style_2_ch"/>
          <w:rFonts w:ascii="Times New Roman" w:hAnsi="Times New Roman"/>
          <w:sz w:val="28"/>
        </w:rPr>
        <w:t>озяйственные товары, б</w:t>
      </w:r>
      <w:r>
        <w:rPr>
          <w:rStyle w:val="Style_2_ch"/>
          <w:rFonts w:ascii="Times New Roman" w:hAnsi="Times New Roman"/>
          <w:sz w:val="28"/>
        </w:rPr>
        <w:t>ытовые услуги, с</w:t>
      </w:r>
      <w:r>
        <w:rPr>
          <w:rStyle w:val="Style_2_ch"/>
          <w:rFonts w:ascii="Times New Roman" w:hAnsi="Times New Roman"/>
          <w:sz w:val="28"/>
        </w:rPr>
        <w:t>отовая связь,</w:t>
      </w:r>
      <w:r>
        <w:rPr>
          <w:rStyle w:val="Style_2_ch"/>
          <w:rFonts w:ascii="Times New Roman" w:hAnsi="Times New Roman"/>
          <w:sz w:val="28"/>
        </w:rPr>
        <w:t xml:space="preserve"> п</w:t>
      </w:r>
      <w:r>
        <w:rPr>
          <w:rStyle w:val="Style_2_ch"/>
          <w:rFonts w:ascii="Times New Roman" w:hAnsi="Times New Roman"/>
          <w:sz w:val="28"/>
        </w:rPr>
        <w:t>арфюмерные и косметические товары, з</w:t>
      </w:r>
      <w:r>
        <w:rPr>
          <w:rStyle w:val="Style_2_ch"/>
          <w:rFonts w:ascii="Times New Roman" w:hAnsi="Times New Roman"/>
          <w:sz w:val="28"/>
        </w:rPr>
        <w:t>оотовары, а</w:t>
      </w:r>
      <w:r>
        <w:rPr>
          <w:rStyle w:val="Style_2_ch"/>
          <w:rFonts w:ascii="Times New Roman" w:hAnsi="Times New Roman"/>
          <w:sz w:val="28"/>
        </w:rPr>
        <w:t>птека, ф</w:t>
      </w:r>
      <w:r>
        <w:rPr>
          <w:rStyle w:val="Style_2_ch"/>
          <w:rFonts w:ascii="Times New Roman" w:hAnsi="Times New Roman"/>
          <w:sz w:val="28"/>
        </w:rPr>
        <w:t>отоуслуги, п</w:t>
      </w:r>
      <w:r>
        <w:rPr>
          <w:rStyle w:val="Style_2_ch"/>
          <w:rFonts w:ascii="Times New Roman" w:hAnsi="Times New Roman"/>
          <w:sz w:val="28"/>
        </w:rPr>
        <w:t>очтомат, п</w:t>
      </w:r>
      <w:r>
        <w:rPr>
          <w:rStyle w:val="Style_2_ch"/>
          <w:rFonts w:ascii="Times New Roman" w:hAnsi="Times New Roman"/>
          <w:sz w:val="28"/>
        </w:rPr>
        <w:t>ечать, п</w:t>
      </w:r>
      <w:r>
        <w:rPr>
          <w:rStyle w:val="Style_2_ch"/>
          <w:rFonts w:ascii="Times New Roman" w:hAnsi="Times New Roman"/>
          <w:sz w:val="28"/>
        </w:rPr>
        <w:t>ункт приема вторичного сырья, б</w:t>
      </w:r>
      <w:r>
        <w:rPr>
          <w:rStyle w:val="Style_2_ch"/>
          <w:rFonts w:ascii="Times New Roman" w:hAnsi="Times New Roman"/>
          <w:sz w:val="28"/>
        </w:rPr>
        <w:t>илеты на морской и речной транспорт, р</w:t>
      </w:r>
      <w:r>
        <w:rPr>
          <w:rStyle w:val="Style_2_ch"/>
          <w:rFonts w:ascii="Times New Roman" w:hAnsi="Times New Roman"/>
          <w:sz w:val="28"/>
        </w:rPr>
        <w:t>емонт обуви, с</w:t>
      </w:r>
      <w:r>
        <w:rPr>
          <w:rStyle w:val="Style_2_ch"/>
          <w:rFonts w:ascii="Times New Roman" w:hAnsi="Times New Roman"/>
          <w:sz w:val="28"/>
        </w:rPr>
        <w:t>увениры/народные промыслы, к</w:t>
      </w:r>
      <w:r>
        <w:rPr>
          <w:rStyle w:val="Style_2_ch"/>
          <w:rFonts w:ascii="Times New Roman" w:hAnsi="Times New Roman"/>
          <w:sz w:val="28"/>
        </w:rPr>
        <w:t>анцелярские товары, т</w:t>
      </w:r>
      <w:r>
        <w:rPr>
          <w:rStyle w:val="Style_2_ch"/>
          <w:rFonts w:ascii="Times New Roman" w:hAnsi="Times New Roman"/>
          <w:sz w:val="28"/>
        </w:rPr>
        <w:t>еатральные билеты, ш</w:t>
      </w:r>
      <w:r>
        <w:rPr>
          <w:rStyle w:val="Style_2_ch"/>
          <w:rFonts w:ascii="Times New Roman" w:hAnsi="Times New Roman"/>
          <w:sz w:val="28"/>
        </w:rPr>
        <w:t>иномонтаж, п</w:t>
      </w:r>
      <w:r>
        <w:rPr>
          <w:rStyle w:val="Style_2_ch"/>
          <w:rFonts w:ascii="Times New Roman" w:hAnsi="Times New Roman"/>
          <w:sz w:val="28"/>
        </w:rPr>
        <w:t>роездные билеты, е</w:t>
      </w:r>
      <w:r>
        <w:rPr>
          <w:rStyle w:val="Style_2_ch"/>
          <w:rFonts w:ascii="Times New Roman" w:hAnsi="Times New Roman"/>
          <w:sz w:val="28"/>
        </w:rPr>
        <w:t>ли, сосны, лапник, иной (с ук</w:t>
      </w:r>
      <w:r>
        <w:rPr>
          <w:rStyle w:val="Style_2_ch"/>
          <w:rFonts w:ascii="Times New Roman" w:hAnsi="Times New Roman"/>
          <w:sz w:val="28"/>
        </w:rPr>
        <w:t>азанием ассортимента);</w:t>
      </w:r>
    </w:p>
    <w:p w14:paraId="4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и) вид продукции: товары или услуги;</w:t>
      </w:r>
    </w:p>
    <w:p w14:paraId="46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к) график размещения нестационарного торгового объекта: сезонно (зима, весна, лето, </w:t>
      </w:r>
      <w:r>
        <w:rPr>
          <w:rStyle w:val="Style_2_ch"/>
          <w:rFonts w:ascii="Times New Roman" w:hAnsi="Times New Roman"/>
          <w:sz w:val="28"/>
        </w:rPr>
        <w:t>осень), по графику, круглогодично;</w:t>
      </w:r>
    </w:p>
    <w:p w14:paraId="47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л) информация о лице, осуществляющем торговую деятельность в нестационарном торговом объекте (наименование и (или) ИНН).»;</w:t>
      </w:r>
    </w:p>
    <w:p w14:paraId="48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дополнить частью 6.1 следующего содержания:</w:t>
      </w:r>
    </w:p>
    <w:p w14:paraId="49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«6.1.</w:t>
      </w:r>
      <w:r>
        <w:rPr>
          <w:rStyle w:val="Style_2_ch"/>
          <w:rFonts w:ascii="Times New Roman" w:hAnsi="Times New Roman"/>
          <w:sz w:val="28"/>
        </w:rPr>
        <w:t xml:space="preserve"> Схемой размещения нестационарных торговых объектов может предусматриваться более одного места размещения мобильного торгового объекта. При этом схем</w:t>
      </w:r>
      <w:r>
        <w:rPr>
          <w:rStyle w:val="Style_2_ch"/>
          <w:rFonts w:ascii="Times New Roman" w:hAnsi="Times New Roman"/>
          <w:sz w:val="28"/>
        </w:rPr>
        <w:t>ой размещения нестационарных торговых объектов устанавливается период времени размещения мобильного торгового объекта в соответствующем месте размещения. Одновременное размещение нескольких мобильных торговых объектов в одном месте размещения не допускаетс</w:t>
      </w:r>
      <w:r>
        <w:rPr>
          <w:rStyle w:val="Style_2_ch"/>
          <w:rFonts w:ascii="Times New Roman" w:hAnsi="Times New Roman"/>
          <w:sz w:val="28"/>
        </w:rPr>
        <w:t>я.</w:t>
      </w:r>
      <w:r>
        <w:rPr>
          <w:rStyle w:val="Style_2_ch"/>
          <w:rFonts w:ascii="Times New Roman" w:hAnsi="Times New Roman"/>
          <w:sz w:val="28"/>
        </w:rPr>
        <w:t>».</w:t>
      </w:r>
    </w:p>
    <w:p w14:paraId="4A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4) в подпункте 2 части 11 после слов «указанной Схемы» дополнить словами «или внесения в нее изменений»;</w:t>
      </w:r>
    </w:p>
    <w:p w14:paraId="4B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5) в подпункте 4 части 11 слова «развозной (мобильной) торговли» заменить словами «мобильных торговых объектов»;</w:t>
      </w:r>
    </w:p>
    <w:p w14:paraId="4C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 подпункте 4 части 17 слова «юридических лиц, индивидуальных предпринимателей» заменить словами «субъектов малого и среднего предпринимательства».</w:t>
      </w:r>
    </w:p>
    <w:p w14:paraId="4D000000">
      <w:pPr>
        <w:sectPr>
          <w:headerReference r:id="rId2" w:type="default"/>
          <w:pgSz w:h="16848" w:orient="portrait" w:w="11908"/>
          <w:pgMar w:bottom="1134" w:footer="0" w:gutter="0" w:header="709" w:left="1417" w:right="850" w:top="1134"/>
          <w:pgNumType w:fmt="decimal" w:start="1"/>
          <w:titlePg/>
        </w:sectPr>
      </w:pPr>
    </w:p>
    <w:p w14:paraId="4E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 xml:space="preserve">3. </w:t>
      </w:r>
      <w:r>
        <w:rPr>
          <w:rFonts w:ascii="Times New Roman" w:hAnsi="Times New Roman"/>
          <w:sz w:val="28"/>
        </w:rPr>
        <w:t>Приложение</w:t>
      </w:r>
      <w:r>
        <w:rPr>
          <w:rStyle w:val="Style_2_ch"/>
          <w:rFonts w:ascii="Times New Roman" w:hAnsi="Times New Roman"/>
          <w:sz w:val="28"/>
        </w:rPr>
        <w:t xml:space="preserve"> к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Порядку</w:t>
      </w:r>
      <w:r>
        <w:rPr>
          <w:rStyle w:val="Style_2_ch"/>
          <w:rFonts w:ascii="Times New Roman" w:hAnsi="Times New Roman"/>
          <w:sz w:val="28"/>
        </w:rPr>
        <w:t xml:space="preserve"> разработки и утверждения органами местного самоуправления муниципальных образований в Камчатском крае схемы размещения нестационарных торговых объектов</w:t>
      </w:r>
      <w:r>
        <w:rPr>
          <w:rStyle w:val="Style_2_ch"/>
          <w:rFonts w:ascii="Times New Roman" w:hAnsi="Times New Roman"/>
          <w:sz w:val="28"/>
        </w:rPr>
        <w:t xml:space="preserve"> изложить в следующей редакции:</w:t>
      </w:r>
    </w:p>
    <w:p w14:paraId="4F000000">
      <w:pPr>
        <w:spacing w:after="0" w:line="240" w:lineRule="auto"/>
        <w:ind/>
      </w:pPr>
    </w:p>
    <w:p w14:paraId="50000000">
      <w:pPr>
        <w:spacing w:after="0" w:line="240" w:lineRule="auto"/>
        <w:ind w:left="5443"/>
        <w:jc w:val="both"/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Приложение</w:t>
      </w:r>
      <w:r>
        <w:rPr>
          <w:rStyle w:val="Style_2_ch"/>
          <w:rFonts w:ascii="Times New Roman" w:hAnsi="Times New Roman"/>
          <w:sz w:val="28"/>
        </w:rPr>
        <w:t xml:space="preserve"> к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Порядку </w:t>
      </w:r>
      <w:r>
        <w:rPr>
          <w:rStyle w:val="Style_2_ch"/>
          <w:rFonts w:ascii="Times New Roman" w:hAnsi="Times New Roman"/>
          <w:sz w:val="28"/>
        </w:rPr>
        <w:t>разработки и утверждения органами местного самоуправления муниципальных образований в Камчатском крае схемы размещения нестационарных торговых объектов</w:t>
      </w:r>
    </w:p>
    <w:p w14:paraId="51000000">
      <w:pPr>
        <w:spacing w:after="0" w:line="240" w:lineRule="auto"/>
        <w:ind/>
      </w:pPr>
    </w:p>
    <w:p w14:paraId="52000000">
      <w:pPr>
        <w:spacing w:after="0" w:line="240" w:lineRule="auto"/>
        <w:ind/>
      </w:pPr>
    </w:p>
    <w:p w14:paraId="53000000">
      <w:pPr>
        <w:pStyle w:val="Style_6"/>
        <w:ind w:firstLine="0" w:left="0"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 xml:space="preserve">Схема размещения нестационарных торговых объектов </w:t>
      </w:r>
    </w:p>
    <w:p w14:paraId="54000000">
      <w:pPr>
        <w:pStyle w:val="Style_6"/>
        <w:ind w:firstLine="0" w:left="0"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 xml:space="preserve">на территории _____________________________ Камчатского края </w:t>
      </w:r>
    </w:p>
    <w:p w14:paraId="55000000">
      <w:pPr>
        <w:pStyle w:val="Style_6"/>
        <w:ind w:firstLine="0" w:left="0"/>
        <w:jc w:val="center"/>
        <w:outlineLvl w:val="0"/>
        <w:rPr>
          <w:rFonts w:ascii="Times New Roman" w:hAnsi="Times New Roman"/>
          <w:b w:val="0"/>
          <w:sz w:val="20"/>
        </w:rPr>
      </w:pPr>
      <w:r>
        <w:rPr>
          <w:rStyle w:val="Style_2_ch"/>
          <w:rFonts w:ascii="Times New Roman" w:hAnsi="Times New Roman"/>
          <w:b w:val="0"/>
          <w:sz w:val="20"/>
        </w:rPr>
        <w:t>(наименование муниципального образования Камчатского края)</w:t>
      </w: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"/>
        <w:gridCol w:w="701"/>
        <w:gridCol w:w="1749"/>
        <w:gridCol w:w="1162"/>
        <w:gridCol w:w="677"/>
        <w:gridCol w:w="546"/>
        <w:gridCol w:w="1242"/>
        <w:gridCol w:w="1491"/>
        <w:gridCol w:w="1623"/>
        <w:gridCol w:w="1028"/>
        <w:gridCol w:w="1618"/>
        <w:gridCol w:w="1451"/>
        <w:gridCol w:w="813"/>
      </w:tblGrid>
      <w:tr>
        <w:tc>
          <w:tcPr>
            <w:tcW w:type="dxa" w:w="12317"/>
            <w:gridSpan w:val="11"/>
            <w:tcBorders>
              <w:top w:color="000000" w:sz="4" w:val="single"/>
              <w:left w:color="000000" w:sz="4" w:val="single"/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нестационарных торговых объектах</w:t>
            </w:r>
          </w:p>
        </w:tc>
        <w:tc>
          <w:tcPr>
            <w:tcW w:type="dxa" w:w="2264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лице, осуществляющем торговую деятельность в нестационарном торговом объекте</w:t>
            </w:r>
          </w:p>
        </w:tc>
      </w:tr>
      <w:tr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в схеме</w:t>
            </w:r>
          </w:p>
        </w:tc>
        <w:tc>
          <w:tcPr>
            <w:tcW w:type="dxa" w:w="17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Адресный ориентир ближайшего к НТО объекта недвижимости/г</w:t>
            </w:r>
            <w:r>
              <w:rPr>
                <w:rFonts w:ascii="Times New Roman" w:hAnsi="Times New Roman"/>
                <w:sz w:val="24"/>
              </w:rPr>
              <w:t>еокоординаты точки размещения НТО</w:t>
            </w:r>
          </w:p>
        </w:tc>
        <w:tc>
          <w:tcPr>
            <w:tcW w:type="dxa" w:w="11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  <w:p w14:paraId="5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земельного</w:t>
            </w:r>
          </w:p>
          <w:p w14:paraId="5F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участка/</w:t>
            </w:r>
          </w:p>
          <w:p w14:paraId="60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лощадь нестационарного торгового объекта</w:t>
            </w:r>
          </w:p>
        </w:tc>
        <w:tc>
          <w:tcPr>
            <w:tcW w:type="dxa" w:w="122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собственности земельного участка</w:t>
            </w:r>
          </w:p>
        </w:tc>
        <w:tc>
          <w:tcPr>
            <w:tcW w:type="dxa" w:w="12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</w:t>
            </w:r>
            <w:r>
              <w:rPr>
                <w:rFonts w:ascii="Times New Roman" w:hAnsi="Times New Roman"/>
                <w:sz w:val="24"/>
              </w:rPr>
              <w:t xml:space="preserve"> нестационарного торгового объекта</w:t>
            </w:r>
          </w:p>
        </w:tc>
        <w:tc>
          <w:tcPr>
            <w:tcW w:type="dxa" w:w="1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Специализация</w:t>
            </w:r>
          </w:p>
          <w:p w14:paraId="64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нестационарного торгового объекта</w:t>
            </w:r>
          </w:p>
        </w:tc>
        <w:tc>
          <w:tcPr>
            <w:tcW w:type="dxa" w:w="1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Ассортимент н</w:t>
            </w:r>
            <w:r>
              <w:rPr>
                <w:rFonts w:ascii="Times New Roman" w:hAnsi="Times New Roman"/>
                <w:sz w:val="24"/>
              </w:rPr>
              <w:t>естационарного торгового объекта</w:t>
            </w:r>
          </w:p>
        </w:tc>
        <w:tc>
          <w:tcPr>
            <w:tcW w:type="dxa" w:w="10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продукции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</w:t>
            </w:r>
            <w:r>
              <w:rPr>
                <w:rFonts w:ascii="Times New Roman" w:hAnsi="Times New Roman"/>
                <w:sz w:val="24"/>
              </w:rPr>
              <w:t xml:space="preserve"> размещения нестационарного торгового объекта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8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</w:tr>
      <w:tr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7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2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0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8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&lt;*&gt;</w:t>
            </w:r>
          </w:p>
        </w:tc>
        <w:tc>
          <w:tcPr>
            <w:tcW w:type="dxa" w:w="1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&lt;**&gt;</w:t>
            </w:r>
          </w:p>
        </w:tc>
        <w:tc>
          <w:tcPr>
            <w:tcW w:type="dxa" w:w="1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&lt;***&gt;</w:t>
            </w:r>
          </w:p>
        </w:tc>
        <w:tc>
          <w:tcPr>
            <w:tcW w:type="dxa" w:w="10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&lt;****&gt;</w:t>
            </w:r>
          </w:p>
        </w:tc>
        <w:tc>
          <w:tcPr>
            <w:tcW w:type="dxa" w:w="16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&lt;*****&gt;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&lt;******&gt;</w:t>
            </w:r>
          </w:p>
        </w:tc>
        <w:tc>
          <w:tcPr>
            <w:tcW w:type="dxa" w:w="8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82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</w:p>
    <w:p w14:paraId="83000000">
      <w:pPr>
        <w:pStyle w:val="Style_2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&lt;*&gt; – заполняется в соответствии с </w:t>
      </w:r>
      <w:r>
        <w:rPr>
          <w:rFonts w:ascii="Times New Roman" w:hAnsi="Times New Roman"/>
          <w:sz w:val="28"/>
        </w:rPr>
        <w:t>подпунктом «е» пункта 2 части 5</w:t>
      </w:r>
      <w:r>
        <w:rPr>
          <w:rFonts w:ascii="Times New Roman" w:hAnsi="Times New Roman"/>
          <w:sz w:val="28"/>
        </w:rPr>
        <w:t xml:space="preserve"> Порядка разработки и утверждения органами местного самоуправления муниципальных образований в Камчатском крае схемы размещения нестационарных торговых объектов (далее - Порядок);</w:t>
      </w:r>
    </w:p>
    <w:p w14:paraId="84000000">
      <w:pPr>
        <w:pStyle w:val="Style_2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&lt;**&gt;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заполняется в соответствии с </w:t>
      </w:r>
      <w:r>
        <w:rPr>
          <w:rFonts w:ascii="Times New Roman" w:hAnsi="Times New Roman"/>
          <w:sz w:val="28"/>
        </w:rPr>
        <w:t>подпунктом «ж» пункта 3 части 5</w:t>
      </w:r>
      <w:r>
        <w:rPr>
          <w:rFonts w:ascii="Times New Roman" w:hAnsi="Times New Roman"/>
          <w:sz w:val="28"/>
        </w:rPr>
        <w:t xml:space="preserve"> Порядка разработки и утверждения органами местного самоуправления муниципальных образований в Камчатском крае схемы размещения нестационарных торговых объектов (далее – Порядок);</w:t>
      </w:r>
    </w:p>
    <w:p w14:paraId="85000000">
      <w:pPr>
        <w:pStyle w:val="Style_2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&lt;***&gt;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заполняется в соответствии с </w:t>
      </w:r>
      <w:r>
        <w:rPr>
          <w:rFonts w:ascii="Times New Roman" w:hAnsi="Times New Roman"/>
          <w:sz w:val="28"/>
        </w:rPr>
        <w:t>подпунктом «з» пункта 3 части 5</w:t>
      </w:r>
      <w:r>
        <w:rPr>
          <w:rFonts w:ascii="Times New Roman" w:hAnsi="Times New Roman"/>
          <w:sz w:val="28"/>
        </w:rPr>
        <w:t xml:space="preserve"> Порядка;</w:t>
      </w:r>
    </w:p>
    <w:p w14:paraId="86000000">
      <w:pPr>
        <w:pStyle w:val="Style_2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&lt;****&gt;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заполняется в соответствии с </w:t>
      </w:r>
      <w:r>
        <w:rPr>
          <w:rFonts w:ascii="Times New Roman" w:hAnsi="Times New Roman"/>
          <w:sz w:val="28"/>
        </w:rPr>
        <w:t>подпунктом «и» пункта 3 части 5</w:t>
      </w:r>
      <w:r>
        <w:rPr>
          <w:rFonts w:ascii="Times New Roman" w:hAnsi="Times New Roman"/>
          <w:sz w:val="28"/>
        </w:rPr>
        <w:t xml:space="preserve"> Порядка;</w:t>
      </w:r>
    </w:p>
    <w:p w14:paraId="87000000">
      <w:pPr>
        <w:pStyle w:val="Style_2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&lt;*****&gt;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заполняется в соответствии с </w:t>
      </w:r>
      <w:r>
        <w:rPr>
          <w:rFonts w:ascii="Times New Roman" w:hAnsi="Times New Roman"/>
          <w:sz w:val="28"/>
        </w:rPr>
        <w:t>подпунктом «к» пункта 3 части 5</w:t>
      </w:r>
      <w:r>
        <w:rPr>
          <w:rFonts w:ascii="Times New Roman" w:hAnsi="Times New Roman"/>
          <w:sz w:val="28"/>
        </w:rPr>
        <w:t xml:space="preserve"> Порядка;</w:t>
      </w:r>
    </w:p>
    <w:p w14:paraId="88000000">
      <w:pPr>
        <w:pStyle w:val="Style_2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&lt;******&gt;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если место размещения нестационарного тор</w:t>
      </w:r>
      <w:r>
        <w:rPr>
          <w:rFonts w:ascii="Times New Roman" w:hAnsi="Times New Roman"/>
          <w:sz w:val="28"/>
        </w:rPr>
        <w:t>гового объекта свободно, в графе ставится прочерк. Для индивидуальных предпринимателей и физических лиц, не являющихся индивидуальными предпринимателями, указывается фамилия, имя и отчество, а также указание на правовой статус (ИП/К(Ф)Х/самозанятый и др.).</w:t>
      </w:r>
    </w:p>
    <w:sectPr>
      <w:headerReference r:id="rId1" w:type="default"/>
      <w:headerReference r:id="rId3" w:type="first"/>
      <w:type w:val="nextPage"/>
      <w:pgSz w:h="11908" w:orient="landscape" w:w="16848"/>
      <w:pgMar w:bottom="1134" w:footer="0" w:gutter="0" w:header="709" w:left="1417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64" w:lineRule="auto"/>
      <w:ind/>
    </w:pPr>
  </w:style>
  <w:style w:default="1" w:styleId="Style_2_ch" w:type="character">
    <w:name w:val="Normal"/>
    <w:link w:val="Style_2"/>
  </w:style>
  <w:style w:styleId="Style_7" w:type="paragraph">
    <w:name w:val="Body Text"/>
    <w:basedOn w:val="Style_2"/>
    <w:link w:val="Style_7_ch"/>
    <w:pPr>
      <w:spacing w:after="140" w:line="276" w:lineRule="auto"/>
      <w:ind/>
    </w:pPr>
  </w:style>
  <w:style w:styleId="Style_7_ch" w:type="character">
    <w:name w:val="Body Text"/>
    <w:basedOn w:val="Style_2_ch"/>
    <w:link w:val="Style_7"/>
  </w:style>
  <w:style w:styleId="Style_8" w:type="paragraph">
    <w:name w:val="toc 2"/>
    <w:next w:val="Style_2"/>
    <w:link w:val="Style_8_ch"/>
    <w:uiPriority w:val="39"/>
    <w:pPr>
      <w:spacing w:after="160" w:line="264" w:lineRule="auto"/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2"/>
    <w:link w:val="Style_9_ch"/>
    <w:uiPriority w:val="39"/>
    <w:pPr>
      <w:spacing w:after="160" w:line="264" w:lineRule="auto"/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Contents 9"/>
    <w:link w:val="Style_11_ch"/>
    <w:rPr>
      <w:rFonts w:ascii="XO Thames" w:hAnsi="XO Thames"/>
      <w:sz w:val="28"/>
    </w:rPr>
  </w:style>
  <w:style w:styleId="Style_11_ch" w:type="character">
    <w:name w:val="Contents 9"/>
    <w:link w:val="Style_11"/>
    <w:rPr>
      <w:rFonts w:ascii="XO Thames" w:hAnsi="XO Thames"/>
      <w:sz w:val="28"/>
    </w:rPr>
  </w:style>
  <w:style w:styleId="Style_12" w:type="paragraph">
    <w:name w:val="toc 6"/>
    <w:next w:val="Style_2"/>
    <w:link w:val="Style_12_ch"/>
    <w:uiPriority w:val="39"/>
    <w:pPr>
      <w:spacing w:after="160" w:line="264" w:lineRule="auto"/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2"/>
    <w:link w:val="Style_13_ch"/>
    <w:uiPriority w:val="39"/>
    <w:pPr>
      <w:spacing w:after="160" w:line="264" w:lineRule="auto"/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Contents 6"/>
    <w:link w:val="Style_14_ch"/>
    <w:rPr>
      <w:rFonts w:ascii="XO Thames" w:hAnsi="XO Thames"/>
      <w:sz w:val="28"/>
    </w:rPr>
  </w:style>
  <w:style w:styleId="Style_14_ch" w:type="character">
    <w:name w:val="Contents 6"/>
    <w:link w:val="Style_14"/>
    <w:rPr>
      <w:rFonts w:ascii="XO Thames" w:hAnsi="XO Thames"/>
      <w:sz w:val="28"/>
    </w:rPr>
  </w:style>
  <w:style w:styleId="Style_15" w:type="paragraph">
    <w:name w:val="Contents 4"/>
    <w:link w:val="Style_15_ch"/>
    <w:rPr>
      <w:rFonts w:ascii="XO Thames" w:hAnsi="XO Thames"/>
      <w:sz w:val="28"/>
    </w:rPr>
  </w:style>
  <w:style w:styleId="Style_15_ch" w:type="character">
    <w:name w:val="Contents 4"/>
    <w:link w:val="Style_15"/>
    <w:rPr>
      <w:rFonts w:ascii="XO Thames" w:hAnsi="XO Thames"/>
      <w:sz w:val="28"/>
    </w:rPr>
  </w:style>
  <w:style w:styleId="Style_16" w:type="paragraph">
    <w:name w:val="Contents 8"/>
    <w:link w:val="Style_16_ch"/>
    <w:rPr>
      <w:rFonts w:ascii="XO Thames" w:hAnsi="XO Thames"/>
      <w:sz w:val="28"/>
    </w:rPr>
  </w:style>
  <w:style w:styleId="Style_16_ch" w:type="character">
    <w:name w:val="Contents 8"/>
    <w:link w:val="Style_16"/>
    <w:rPr>
      <w:rFonts w:ascii="XO Thames" w:hAnsi="XO Thames"/>
      <w:sz w:val="28"/>
    </w:rPr>
  </w:style>
  <w:style w:styleId="Style_5" w:type="paragraph">
    <w:name w:val="List Paragraph"/>
    <w:basedOn w:val="Style_2"/>
    <w:link w:val="Style_5_ch"/>
    <w:pPr>
      <w:ind w:firstLine="0" w:left="720"/>
      <w:contextualSpacing w:val="1"/>
    </w:pPr>
  </w:style>
  <w:style w:styleId="Style_5_ch" w:type="character">
    <w:name w:val="List Paragraph"/>
    <w:basedOn w:val="Style_2_ch"/>
    <w:link w:val="Style_5"/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link w:val="Style_18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Заголовок 21"/>
    <w:link w:val="Style_19_ch"/>
    <w:rPr>
      <w:rFonts w:ascii="XO Thames" w:hAnsi="XO Thames"/>
      <w:b w:val="1"/>
      <w:color w:val="000000"/>
      <w:spacing w:val="0"/>
      <w:sz w:val="28"/>
    </w:rPr>
  </w:style>
  <w:style w:styleId="Style_19_ch" w:type="character">
    <w:name w:val="Заголовок 21"/>
    <w:link w:val="Style_19"/>
    <w:rPr>
      <w:rFonts w:ascii="XO Thames" w:hAnsi="XO Thames"/>
      <w:b w:val="1"/>
      <w:color w:val="000000"/>
      <w:spacing w:val="0"/>
      <w:sz w:val="28"/>
    </w:rPr>
  </w:style>
  <w:style w:styleId="Style_20" w:type="paragraph">
    <w:name w:val="Основной шрифт абзаца1"/>
    <w:link w:val="Style_20_ch"/>
    <w:pPr>
      <w:spacing w:after="160" w:line="264" w:lineRule="auto"/>
      <w:ind/>
    </w:pPr>
  </w:style>
  <w:style w:styleId="Style_20_ch" w:type="character">
    <w:name w:val="Основной шрифт абзаца1"/>
    <w:link w:val="Style_20"/>
  </w:style>
  <w:style w:styleId="Style_21" w:type="paragraph">
    <w:name w:val="Содержимое врезки"/>
    <w:basedOn w:val="Style_2"/>
    <w:link w:val="Style_21_ch"/>
  </w:style>
  <w:style w:styleId="Style_21_ch" w:type="character">
    <w:name w:val="Содержимое врезки"/>
    <w:basedOn w:val="Style_2_ch"/>
    <w:link w:val="Style_21"/>
  </w:style>
  <w:style w:styleId="Style_22" w:type="paragraph">
    <w:name w:val="Колонтитул"/>
    <w:link w:val="Style_22_ch"/>
    <w:rPr>
      <w:rFonts w:ascii="XO Thames" w:hAnsi="XO Thames"/>
      <w:sz w:val="20"/>
    </w:rPr>
  </w:style>
  <w:style w:styleId="Style_22_ch" w:type="character">
    <w:name w:val="Колонтитул"/>
    <w:link w:val="Style_22"/>
    <w:rPr>
      <w:rFonts w:ascii="XO Thames" w:hAnsi="XO Thames"/>
      <w:sz w:val="20"/>
    </w:rPr>
  </w:style>
  <w:style w:styleId="Style_23" w:type="paragraph">
    <w:name w:val="Подзаголовок1"/>
    <w:link w:val="Style_23_ch"/>
    <w:rPr>
      <w:rFonts w:ascii="XO Thames" w:hAnsi="XO Thames"/>
      <w:i w:val="1"/>
      <w:color w:val="000000"/>
      <w:spacing w:val="0"/>
      <w:sz w:val="24"/>
    </w:rPr>
  </w:style>
  <w:style w:styleId="Style_23_ch" w:type="character">
    <w:name w:val="Подзаголовок1"/>
    <w:link w:val="Style_23"/>
    <w:rPr>
      <w:rFonts w:ascii="XO Thames" w:hAnsi="XO Thames"/>
      <w:i w:val="1"/>
      <w:color w:val="000000"/>
      <w:spacing w:val="0"/>
      <w:sz w:val="24"/>
    </w:rPr>
  </w:style>
  <w:style w:styleId="Style_24" w:type="paragraph">
    <w:name w:val="Contents 1"/>
    <w:link w:val="Style_24_ch"/>
    <w:rPr>
      <w:rFonts w:ascii="XO Thames" w:hAnsi="XO Thames"/>
      <w:b w:val="1"/>
      <w:sz w:val="28"/>
    </w:rPr>
  </w:style>
  <w:style w:styleId="Style_24_ch" w:type="character">
    <w:name w:val="Contents 1"/>
    <w:link w:val="Style_24"/>
    <w:rPr>
      <w:rFonts w:ascii="XO Thames" w:hAnsi="XO Thames"/>
      <w:b w:val="1"/>
      <w:sz w:val="28"/>
    </w:rPr>
  </w:style>
  <w:style w:styleId="Style_25" w:type="paragraph">
    <w:name w:val="ConsPlusNormal"/>
    <w:link w:val="Style_25_ch"/>
    <w:pPr>
      <w:widowControl w:val="0"/>
      <w:ind/>
    </w:pPr>
    <w:rPr>
      <w:rFonts w:ascii="Times New Roman" w:hAnsi="Times New Roman"/>
      <w:sz w:val="24"/>
    </w:rPr>
  </w:style>
  <w:style w:styleId="Style_25_ch" w:type="character">
    <w:name w:val="ConsPlusNormal"/>
    <w:link w:val="Style_25"/>
    <w:rPr>
      <w:rFonts w:ascii="Times New Roman" w:hAnsi="Times New Roman"/>
      <w:sz w:val="24"/>
    </w:rPr>
  </w:style>
  <w:style w:styleId="Style_26" w:type="paragraph">
    <w:name w:val="Заголовок 31"/>
    <w:link w:val="Style_26_ch"/>
    <w:rPr>
      <w:rFonts w:ascii="XO Thames" w:hAnsi="XO Thames"/>
      <w:b w:val="1"/>
      <w:color w:val="000000"/>
      <w:spacing w:val="0"/>
      <w:sz w:val="26"/>
    </w:rPr>
  </w:style>
  <w:style w:styleId="Style_26_ch" w:type="character">
    <w:name w:val="Заголовок 31"/>
    <w:link w:val="Style_26"/>
    <w:rPr>
      <w:rFonts w:ascii="XO Thames" w:hAnsi="XO Thames"/>
      <w:b w:val="1"/>
      <w:color w:val="000000"/>
      <w:spacing w:val="0"/>
      <w:sz w:val="26"/>
    </w:rPr>
  </w:style>
  <w:style w:styleId="Style_27" w:type="paragraph">
    <w:name w:val="Balloon Text"/>
    <w:basedOn w:val="Style_2"/>
    <w:link w:val="Style_27_ch"/>
    <w:pPr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2_ch"/>
    <w:link w:val="Style_27"/>
    <w:rPr>
      <w:rFonts w:ascii="Segoe UI" w:hAnsi="Segoe UI"/>
      <w:sz w:val="18"/>
    </w:rPr>
  </w:style>
  <w:style w:styleId="Style_28" w:type="paragraph">
    <w:name w:val="toc 3"/>
    <w:next w:val="Style_2"/>
    <w:link w:val="Style_28_ch"/>
    <w:uiPriority w:val="39"/>
    <w:pPr>
      <w:spacing w:after="160" w:line="264" w:lineRule="auto"/>
      <w:ind w:firstLine="0" w:left="400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index heading"/>
    <w:basedOn w:val="Style_2"/>
    <w:link w:val="Style_29_ch"/>
  </w:style>
  <w:style w:styleId="Style_29_ch" w:type="character">
    <w:name w:val="index heading"/>
    <w:basedOn w:val="Style_2_ch"/>
    <w:link w:val="Style_29"/>
  </w:style>
  <w:style w:styleId="Style_30" w:type="paragraph">
    <w:name w:val="Contents 5"/>
    <w:link w:val="Style_30_ch"/>
    <w:rPr>
      <w:rFonts w:ascii="XO Thames" w:hAnsi="XO Thames"/>
      <w:sz w:val="28"/>
    </w:rPr>
  </w:style>
  <w:style w:styleId="Style_30_ch" w:type="character">
    <w:name w:val="Contents 5"/>
    <w:link w:val="Style_30"/>
    <w:rPr>
      <w:rFonts w:ascii="XO Thames" w:hAnsi="XO Thames"/>
      <w:sz w:val="28"/>
    </w:rPr>
  </w:style>
  <w:style w:styleId="Style_31" w:type="paragraph">
    <w:name w:val="heading 5"/>
    <w:link w:val="Style_31_ch"/>
    <w:uiPriority w:val="9"/>
    <w:qFormat/>
    <w:pPr>
      <w:ind/>
      <w:outlineLvl w:val="4"/>
    </w:pPr>
    <w:rPr>
      <w:rFonts w:ascii="XO Thames" w:hAnsi="XO Thames"/>
      <w:b w:val="1"/>
    </w:rPr>
  </w:style>
  <w:style w:styleId="Style_31_ch" w:type="character">
    <w:name w:val="heading 5"/>
    <w:link w:val="Style_31"/>
    <w:rPr>
      <w:rFonts w:ascii="XO Thames" w:hAnsi="XO Thames"/>
      <w:b w:val="1"/>
    </w:rPr>
  </w:style>
  <w:style w:styleId="Style_6" w:type="paragraph">
    <w:name w:val="heading 1"/>
    <w:link w:val="Style_6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6_ch" w:type="character">
    <w:name w:val="heading 1"/>
    <w:link w:val="Style_6"/>
    <w:rPr>
      <w:rFonts w:ascii="XO Thames" w:hAnsi="XO Thames"/>
      <w:b w:val="1"/>
      <w:sz w:val="32"/>
    </w:rPr>
  </w:style>
  <w:style w:styleId="Style_32" w:type="paragraph">
    <w:name w:val="Заголовок1"/>
    <w:basedOn w:val="Style_33"/>
    <w:link w:val="Style_32_ch"/>
    <w:rPr>
      <w:rFonts w:ascii="Open Sans" w:hAnsi="Open Sans"/>
      <w:color w:val="000000"/>
      <w:spacing w:val="0"/>
      <w:sz w:val="28"/>
    </w:rPr>
  </w:style>
  <w:style w:styleId="Style_32_ch" w:type="character">
    <w:name w:val="Заголовок1"/>
    <w:basedOn w:val="Style_33_ch"/>
    <w:link w:val="Style_32"/>
    <w:rPr>
      <w:rFonts w:ascii="Open Sans" w:hAnsi="Open Sans"/>
      <w:color w:val="000000"/>
      <w:spacing w:val="0"/>
      <w:sz w:val="28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spacing w:after="160" w:line="264" w:lineRule="auto"/>
      <w:ind w:firstLine="851" w:left="0"/>
      <w:jc w:val="both"/>
    </w:pPr>
    <w:rPr>
      <w:rFonts w:ascii="XO Thames" w:hAnsi="XO Thames"/>
    </w:rPr>
  </w:style>
  <w:style w:styleId="Style_35_ch" w:type="character">
    <w:name w:val="Footnote"/>
    <w:link w:val="Style_35"/>
    <w:rPr>
      <w:rFonts w:ascii="XO Thames" w:hAnsi="XO Thames"/>
    </w:rPr>
  </w:style>
  <w:style w:styleId="Style_36" w:type="paragraph">
    <w:name w:val="toc 1"/>
    <w:next w:val="Style_2"/>
    <w:link w:val="Style_36_ch"/>
    <w:uiPriority w:val="39"/>
    <w:pPr>
      <w:spacing w:after="160" w:line="264" w:lineRule="auto"/>
      <w:ind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Название объекта1"/>
    <w:basedOn w:val="Style_33"/>
    <w:link w:val="Style_37_ch"/>
    <w:rPr>
      <w:rFonts w:asciiTheme="minorAscii" w:hAnsiTheme="minorHAnsi"/>
      <w:i w:val="1"/>
      <w:color w:val="000000"/>
      <w:spacing w:val="0"/>
      <w:sz w:val="24"/>
    </w:rPr>
  </w:style>
  <w:style w:styleId="Style_37_ch" w:type="character">
    <w:name w:val="Название объекта1"/>
    <w:basedOn w:val="Style_33_ch"/>
    <w:link w:val="Style_37"/>
    <w:rPr>
      <w:rFonts w:asciiTheme="minorAscii" w:hAnsiTheme="minorHAnsi"/>
      <w:i w:val="1"/>
      <w:color w:val="000000"/>
      <w:spacing w:val="0"/>
      <w:sz w:val="24"/>
    </w:rPr>
  </w:style>
  <w:style w:styleId="Style_38" w:type="paragraph">
    <w:name w:val="Список1"/>
    <w:basedOn w:val="Style_39"/>
    <w:link w:val="Style_38_ch"/>
  </w:style>
  <w:style w:styleId="Style_38_ch" w:type="character">
    <w:name w:val="Список1"/>
    <w:basedOn w:val="Style_39_ch"/>
    <w:link w:val="Style_38"/>
  </w:style>
  <w:style w:styleId="Style_40" w:type="paragraph">
    <w:name w:val="Заголовок 41"/>
    <w:link w:val="Style_40_ch"/>
    <w:rPr>
      <w:rFonts w:ascii="XO Thames" w:hAnsi="XO Thames"/>
      <w:b w:val="1"/>
      <w:color w:val="000000"/>
      <w:spacing w:val="0"/>
      <w:sz w:val="24"/>
    </w:rPr>
  </w:style>
  <w:style w:styleId="Style_40_ch" w:type="character">
    <w:name w:val="Заголовок 41"/>
    <w:link w:val="Style_40"/>
    <w:rPr>
      <w:rFonts w:ascii="XO Thames" w:hAnsi="XO Thames"/>
      <w:b w:val="1"/>
      <w:color w:val="000000"/>
      <w:spacing w:val="0"/>
      <w:sz w:val="24"/>
    </w:rPr>
  </w:style>
  <w:style w:styleId="Style_41" w:type="paragraph">
    <w:name w:val="Нижний колонтитул1"/>
    <w:link w:val="Style_41_ch"/>
    <w:rPr>
      <w:rFonts w:ascii="Times New Roman" w:hAnsi="Times New Roman"/>
      <w:sz w:val="28"/>
    </w:rPr>
  </w:style>
  <w:style w:styleId="Style_41_ch" w:type="character">
    <w:name w:val="Нижний колонтитул1"/>
    <w:link w:val="Style_41"/>
    <w:rPr>
      <w:rFonts w:ascii="Times New Roman" w:hAnsi="Times New Roman"/>
      <w:sz w:val="28"/>
    </w:rPr>
  </w:style>
  <w:style w:styleId="Style_1" w:type="paragraph">
    <w:name w:val="Header and Footer"/>
    <w:link w:val="Style_1_ch"/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42" w:type="paragraph">
    <w:name w:val="Contents 7"/>
    <w:link w:val="Style_42_ch"/>
    <w:rPr>
      <w:rFonts w:ascii="XO Thames" w:hAnsi="XO Thames"/>
      <w:sz w:val="28"/>
    </w:rPr>
  </w:style>
  <w:style w:styleId="Style_42_ch" w:type="character">
    <w:name w:val="Contents 7"/>
    <w:link w:val="Style_42"/>
    <w:rPr>
      <w:rFonts w:ascii="XO Thames" w:hAnsi="XO Thames"/>
      <w:sz w:val="28"/>
    </w:rPr>
  </w:style>
  <w:style w:styleId="Style_33" w:type="paragraph">
    <w:name w:val="Обычный1"/>
    <w:link w:val="Style_33_ch"/>
    <w:rPr>
      <w:rFonts w:asciiTheme="minorAscii" w:hAnsiTheme="minorHAnsi"/>
      <w:color w:val="000000"/>
      <w:spacing w:val="0"/>
      <w:sz w:val="22"/>
    </w:rPr>
  </w:style>
  <w:style w:styleId="Style_33_ch" w:type="character">
    <w:name w:val="Обычный1"/>
    <w:link w:val="Style_33"/>
    <w:rPr>
      <w:rFonts w:asciiTheme="minorAscii" w:hAnsiTheme="minorHAnsi"/>
      <w:color w:val="000000"/>
      <w:spacing w:val="0"/>
      <w:sz w:val="22"/>
    </w:rPr>
  </w:style>
  <w:style w:styleId="Style_43" w:type="paragraph">
    <w:name w:val="Заголовок2"/>
    <w:link w:val="Style_43_ch"/>
    <w:rPr>
      <w:rFonts w:ascii="XO Thames" w:hAnsi="XO Thames"/>
      <w:b w:val="1"/>
      <w:caps w:val="1"/>
      <w:color w:val="000000"/>
      <w:spacing w:val="0"/>
      <w:sz w:val="40"/>
    </w:rPr>
  </w:style>
  <w:style w:styleId="Style_43_ch" w:type="character">
    <w:name w:val="Заголовок2"/>
    <w:link w:val="Style_43"/>
    <w:rPr>
      <w:rFonts w:ascii="XO Thames" w:hAnsi="XO Thames"/>
      <w:b w:val="1"/>
      <w:caps w:val="1"/>
      <w:color w:val="000000"/>
      <w:spacing w:val="0"/>
      <w:sz w:val="40"/>
    </w:rPr>
  </w:style>
  <w:style w:styleId="Style_44" w:type="paragraph">
    <w:name w:val="toc 9"/>
    <w:next w:val="Style_2"/>
    <w:link w:val="Style_44_ch"/>
    <w:uiPriority w:val="39"/>
    <w:pPr>
      <w:spacing w:after="160" w:line="264" w:lineRule="auto"/>
      <w:ind w:firstLine="0" w:left="1600"/>
    </w:pPr>
    <w:rPr>
      <w:rFonts w:ascii="XO Thames" w:hAnsi="XO Thames"/>
      <w:sz w:val="28"/>
    </w:rPr>
  </w:style>
  <w:style w:styleId="Style_44_ch" w:type="character">
    <w:name w:val="toc 9"/>
    <w:link w:val="Style_44"/>
    <w:rPr>
      <w:rFonts w:ascii="XO Thames" w:hAnsi="XO Thames"/>
      <w:sz w:val="28"/>
    </w:rPr>
  </w:style>
  <w:style w:styleId="Style_45" w:type="paragraph">
    <w:name w:val="caption"/>
    <w:link w:val="Style_45_ch"/>
    <w:rPr>
      <w:i w:val="1"/>
      <w:sz w:val="24"/>
    </w:rPr>
  </w:style>
  <w:style w:styleId="Style_45_ch" w:type="character">
    <w:name w:val="caption"/>
    <w:link w:val="Style_45"/>
    <w:rPr>
      <w:i w:val="1"/>
      <w:sz w:val="24"/>
    </w:rPr>
  </w:style>
  <w:style w:styleId="Style_39" w:type="paragraph">
    <w:name w:val="Text body"/>
    <w:link w:val="Style_39_ch"/>
  </w:style>
  <w:style w:styleId="Style_39_ch" w:type="character">
    <w:name w:val="Text body"/>
    <w:link w:val="Style_39"/>
  </w:style>
  <w:style w:styleId="Style_46" w:type="paragraph">
    <w:name w:val="header"/>
    <w:link w:val="Style_46_ch"/>
  </w:style>
  <w:style w:styleId="Style_46_ch" w:type="character">
    <w:name w:val="header"/>
    <w:link w:val="Style_46"/>
  </w:style>
  <w:style w:styleId="Style_47" w:type="paragraph">
    <w:name w:val="toc 8"/>
    <w:next w:val="Style_2"/>
    <w:link w:val="Style_47_ch"/>
    <w:uiPriority w:val="39"/>
    <w:pPr>
      <w:spacing w:after="160" w:line="264" w:lineRule="auto"/>
      <w:ind w:firstLine="0" w:left="1400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List"/>
    <w:basedOn w:val="Style_39"/>
    <w:link w:val="Style_48_ch"/>
  </w:style>
  <w:style w:styleId="Style_48_ch" w:type="character">
    <w:name w:val="List"/>
    <w:basedOn w:val="Style_39_ch"/>
    <w:link w:val="Style_48"/>
  </w:style>
  <w:style w:styleId="Style_49" w:type="paragraph">
    <w:name w:val="Заголовок 11"/>
    <w:link w:val="Style_49_ch"/>
    <w:rPr>
      <w:rFonts w:ascii="XO Thames" w:hAnsi="XO Thames"/>
      <w:b w:val="1"/>
      <w:color w:val="000000"/>
      <w:spacing w:val="0"/>
      <w:sz w:val="32"/>
    </w:rPr>
  </w:style>
  <w:style w:styleId="Style_49_ch" w:type="character">
    <w:name w:val="Заголовок 11"/>
    <w:link w:val="Style_49"/>
    <w:rPr>
      <w:rFonts w:ascii="XO Thames" w:hAnsi="XO Thames"/>
      <w:b w:val="1"/>
      <w:color w:val="000000"/>
      <w:spacing w:val="0"/>
      <w:sz w:val="32"/>
    </w:rPr>
  </w:style>
  <w:style w:styleId="Style_50" w:type="paragraph">
    <w:name w:val="Plain Text"/>
    <w:basedOn w:val="Style_2"/>
    <w:link w:val="Style_50_ch"/>
    <w:pPr>
      <w:spacing w:after="0" w:line="240" w:lineRule="auto"/>
      <w:ind/>
    </w:pPr>
    <w:rPr>
      <w:rFonts w:ascii="Calibri" w:hAnsi="Calibri"/>
    </w:rPr>
  </w:style>
  <w:style w:styleId="Style_50_ch" w:type="character">
    <w:name w:val="Plain Text"/>
    <w:basedOn w:val="Style_2_ch"/>
    <w:link w:val="Style_50"/>
    <w:rPr>
      <w:rFonts w:ascii="Calibri" w:hAnsi="Calibri"/>
    </w:rPr>
  </w:style>
  <w:style w:styleId="Style_51" w:type="paragraph">
    <w:name w:val="toc 5"/>
    <w:next w:val="Style_2"/>
    <w:link w:val="Style_51_ch"/>
    <w:uiPriority w:val="39"/>
    <w:pPr>
      <w:spacing w:after="160" w:line="264" w:lineRule="auto"/>
      <w:ind w:firstLine="0" w:left="800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52" w:type="paragraph">
    <w:name w:val="Верхний колонтитул1"/>
    <w:link w:val="Style_52_ch"/>
    <w:rPr>
      <w:rFonts w:asciiTheme="minorAscii" w:hAnsiTheme="minorHAnsi"/>
      <w:color w:val="000000"/>
      <w:spacing w:val="0"/>
      <w:sz w:val="22"/>
    </w:rPr>
  </w:style>
  <w:style w:styleId="Style_52_ch" w:type="character">
    <w:name w:val="Верхний колонтитул1"/>
    <w:link w:val="Style_52"/>
    <w:rPr>
      <w:rFonts w:asciiTheme="minorAscii" w:hAnsiTheme="minorHAnsi"/>
      <w:color w:val="000000"/>
      <w:spacing w:val="0"/>
      <w:sz w:val="22"/>
    </w:rPr>
  </w:style>
  <w:style w:styleId="Style_53" w:type="paragraph">
    <w:name w:val="Contents 2"/>
    <w:link w:val="Style_53_ch"/>
    <w:rPr>
      <w:rFonts w:ascii="XO Thames" w:hAnsi="XO Thames"/>
      <w:sz w:val="28"/>
    </w:rPr>
  </w:style>
  <w:style w:styleId="Style_53_ch" w:type="character">
    <w:name w:val="Contents 2"/>
    <w:link w:val="Style_53"/>
    <w:rPr>
      <w:rFonts w:ascii="XO Thames" w:hAnsi="XO Thames"/>
      <w:sz w:val="28"/>
    </w:rPr>
  </w:style>
  <w:style w:styleId="Style_54" w:type="paragraph">
    <w:name w:val="Заголовок 51"/>
    <w:link w:val="Style_54_ch"/>
    <w:rPr>
      <w:rFonts w:ascii="XO Thames" w:hAnsi="XO Thames"/>
      <w:b w:val="1"/>
      <w:color w:val="000000"/>
      <w:spacing w:val="0"/>
      <w:sz w:val="22"/>
    </w:rPr>
  </w:style>
  <w:style w:styleId="Style_54_ch" w:type="character">
    <w:name w:val="Заголовок 51"/>
    <w:link w:val="Style_54"/>
    <w:rPr>
      <w:rFonts w:ascii="XO Thames" w:hAnsi="XO Thames"/>
      <w:b w:val="1"/>
      <w:color w:val="000000"/>
      <w:spacing w:val="0"/>
      <w:sz w:val="22"/>
    </w:rPr>
  </w:style>
  <w:style w:styleId="Style_55" w:type="paragraph">
    <w:name w:val="ConsPlusTitle"/>
    <w:link w:val="Style_55_ch"/>
    <w:pPr>
      <w:widowControl w:val="0"/>
      <w:ind/>
    </w:pPr>
    <w:rPr>
      <w:rFonts w:ascii="Arial" w:hAnsi="Arial"/>
      <w:b w:val="1"/>
      <w:sz w:val="24"/>
    </w:rPr>
  </w:style>
  <w:style w:styleId="Style_55_ch" w:type="character">
    <w:name w:val="ConsPlusTitle"/>
    <w:link w:val="Style_55"/>
    <w:rPr>
      <w:rFonts w:ascii="Arial" w:hAnsi="Arial"/>
      <w:b w:val="1"/>
      <w:sz w:val="24"/>
    </w:rPr>
  </w:style>
  <w:style w:styleId="Style_56" w:type="paragraph">
    <w:name w:val="Subtitle"/>
    <w:link w:val="Style_56_ch"/>
    <w:uiPriority w:val="11"/>
    <w:qFormat/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footer"/>
    <w:basedOn w:val="Style_2"/>
    <w:link w:val="Style_57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57_ch" w:type="character">
    <w:name w:val="footer"/>
    <w:basedOn w:val="Style_2_ch"/>
    <w:link w:val="Style_57"/>
    <w:rPr>
      <w:rFonts w:ascii="Times New Roman" w:hAnsi="Times New Roman"/>
      <w:sz w:val="28"/>
    </w:rPr>
  </w:style>
  <w:style w:styleId="Style_58" w:type="paragraph">
    <w:name w:val="Title"/>
    <w:next w:val="Style_7"/>
    <w:link w:val="Style_58_ch"/>
    <w:uiPriority w:val="10"/>
    <w:qFormat/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next w:val="Style_2"/>
    <w:link w:val="Style_59_ch"/>
    <w:uiPriority w:val="9"/>
    <w:qFormat/>
    <w:pPr>
      <w:spacing w:after="120" w:before="120" w:line="264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59_ch" w:type="character">
    <w:name w:val="heading 4"/>
    <w:link w:val="Style_59"/>
    <w:rPr>
      <w:rFonts w:ascii="XO Thames" w:hAnsi="XO Thames"/>
      <w:b w:val="1"/>
      <w:sz w:val="24"/>
    </w:rPr>
  </w:style>
  <w:style w:styleId="Style_60" w:type="paragraph">
    <w:name w:val="Contents 3"/>
    <w:link w:val="Style_60_ch"/>
    <w:rPr>
      <w:rFonts w:ascii="XO Thames" w:hAnsi="XO Thames"/>
      <w:sz w:val="28"/>
    </w:rPr>
  </w:style>
  <w:style w:styleId="Style_60_ch" w:type="character">
    <w:name w:val="Contents 3"/>
    <w:link w:val="Style_60"/>
    <w:rPr>
      <w:rFonts w:ascii="XO Thames" w:hAnsi="XO Thames"/>
      <w:sz w:val="28"/>
    </w:rPr>
  </w:style>
  <w:style w:styleId="Style_61" w:type="paragraph">
    <w:name w:val="Internet link"/>
    <w:basedOn w:val="Style_20"/>
    <w:link w:val="Style_61_ch"/>
    <w:rPr>
      <w:color w:themeColor="hyperlink" w:val="0563C1"/>
      <w:u w:val="single"/>
    </w:rPr>
  </w:style>
  <w:style w:styleId="Style_61_ch" w:type="character">
    <w:name w:val="Internet link"/>
    <w:basedOn w:val="Style_20_ch"/>
    <w:link w:val="Style_61"/>
    <w:rPr>
      <w:color w:themeColor="hyperlink" w:val="0563C1"/>
      <w:u w:val="single"/>
    </w:rPr>
  </w:style>
  <w:style w:styleId="Style_62" w:type="paragraph">
    <w:name w:val="heading 2"/>
    <w:link w:val="Style_62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62_ch" w:type="character">
    <w:name w:val="heading 2"/>
    <w:link w:val="Style_62"/>
    <w:rPr>
      <w:rFonts w:ascii="XO Thames" w:hAnsi="XO Thames"/>
      <w:b w:val="1"/>
      <w:sz w:val="28"/>
    </w:rPr>
  </w:style>
  <w:style w:styleId="Style_63" w:type="paragraph">
    <w:name w:val="Гиперссылка1"/>
    <w:basedOn w:val="Style_20"/>
    <w:link w:val="Style_63_ch"/>
    <w:rPr>
      <w:color w:themeColor="hyperlink" w:val="0563C1"/>
      <w:u w:val="single"/>
    </w:rPr>
  </w:style>
  <w:style w:styleId="Style_63_ch" w:type="character">
    <w:name w:val="Гиперссылка1"/>
    <w:basedOn w:val="Style_20_ch"/>
    <w:link w:val="Style_63"/>
    <w:rPr>
      <w:color w:themeColor="hyperlink" w:val="0563C1"/>
      <w:u w:val="single"/>
    </w:rPr>
  </w:style>
  <w:style w:styleId="Style_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4" w:type="table">
    <w:name w:val="Сетка таблицы2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5" w:type="table">
    <w:name w:val="Сетка таблицы1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2026-05-05T02:16:52Z</dcterms:modified>
</cp:coreProperties>
</file>