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  <w:highlight w:val="yellow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  <w:highlight w:val="yellow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highlight w:val="yellow"/>
        </w:rPr>
      </w:r>
      <w:r>
        <w:rPr>
          <w:rFonts w:ascii="Times New Roman" w:hAnsi="Times New Roman"/>
          <w:sz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sz w:val="32"/>
          <w:highlight w:val="yellow"/>
        </w:rPr>
      </w:pPr>
      <w:r>
        <w:rPr>
          <w:rFonts w:ascii="Times New Roman" w:hAnsi="Times New Roman"/>
          <w:sz w:val="32"/>
          <w:highlight w:val="yellow"/>
        </w:rPr>
      </w:r>
      <w:r>
        <w:rPr>
          <w:rFonts w:ascii="Times New Roman" w:hAnsi="Times New Roman"/>
          <w:sz w:val="32"/>
          <w:highlight w:val="yellow"/>
        </w:rPr>
      </w:r>
      <w:r>
        <w:rPr>
          <w:rFonts w:ascii="Times New Roman" w:hAnsi="Times New Roman"/>
          <w:sz w:val="32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yellow"/>
        </w:rPr>
      </w:pPr>
      <w:r>
        <w:rPr>
          <w:rFonts w:ascii="Times New Roman" w:hAnsi="Times New Roman"/>
          <w:b/>
          <w:sz w:val="32"/>
          <w:highlight w:val="yellow"/>
        </w:rPr>
      </w:r>
      <w:r>
        <w:rPr>
          <w:rFonts w:ascii="Times New Roman" w:hAnsi="Times New Roman"/>
          <w:b/>
          <w:sz w:val="32"/>
          <w:highlight w:val="yellow"/>
        </w:rPr>
      </w:r>
      <w:r>
        <w:rPr>
          <w:rFonts w:ascii="Times New Roman" w:hAnsi="Times New Roman"/>
          <w:b/>
          <w:sz w:val="32"/>
          <w:highlight w:val="yellow"/>
        </w:rPr>
      </w:r>
    </w:p>
    <w:p>
      <w:pPr>
        <w:spacing w:after="0" w:line="240" w:lineRule="auto"/>
        <w:rPr>
          <w:rFonts w:ascii="Times New Roman" w:hAnsi="Times New Roman"/>
          <w:b/>
          <w:sz w:val="32"/>
          <w:highlight w:val="yellow"/>
        </w:rPr>
      </w:pPr>
      <w:r>
        <w:rPr>
          <w:rFonts w:ascii="Times New Roman" w:hAnsi="Times New Roman"/>
          <w:b/>
          <w:sz w:val="32"/>
          <w:highlight w:val="yellow"/>
        </w:rPr>
      </w:r>
      <w:r>
        <w:rPr>
          <w:rFonts w:ascii="Times New Roman" w:hAnsi="Times New Roman"/>
          <w:b/>
          <w:sz w:val="32"/>
          <w:highlight w:val="yellow"/>
        </w:rPr>
      </w:r>
      <w:r>
        <w:rPr>
          <w:rFonts w:ascii="Times New Roman" w:hAnsi="Times New Roman"/>
          <w:b/>
          <w:sz w:val="32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  <w:highlight w:val="none"/>
        </w:rPr>
      </w:pPr>
      <w:r>
        <w:rPr>
          <w:rStyle w:val="868"/>
          <w:rFonts w:ascii="Times New Roman" w:hAnsi="Times New Roman"/>
          <w:b/>
          <w:color w:val="auto"/>
          <w:sz w:val="28"/>
          <w:szCs w:val="28"/>
        </w:rPr>
      </w:r>
      <w:r>
        <w:rPr>
          <w:rFonts w:ascii="TimesNewRomanPSMT" w:hAnsi="TimesNewRomanPSMT" w:cs="TimesNewRomanPSMT"/>
          <w:b/>
          <w:sz w:val="28"/>
          <w:szCs w:val="28"/>
        </w:rPr>
        <w:t xml:space="preserve">О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внесении изменений в приложение к постановлению Правительства Камчатского края от 26.04.2024 № 207-П «Об утверждении Порядка предоставления из краевого бюджета субсидии Микрокредитной компании Камчатский государственный фонд поддержки предпринимательства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на финансовое обеспечение затрат, связанных с оказанием услуг по предоставлению финансовой поддержки промышленным предприятиям»</w:t>
      </w:r>
      <w:r>
        <w:rPr>
          <w:rFonts w:ascii="TimesNewRomanPSMT" w:hAnsi="TimesNewRomanPSMT" w:cs="TimesNewRomanPSMT"/>
          <w:b/>
          <w:bCs/>
          <w:sz w:val="28"/>
          <w:szCs w:val="28"/>
          <w:highlight w:val="none"/>
        </w:rPr>
      </w:r>
      <w:r>
        <w:rPr>
          <w:rFonts w:ascii="TimesNewRomanPSMT" w:hAnsi="TimesNewRomanPSMT" w:cs="TimesNewRomanPSMT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ПРАВИТЕЛ</w:t>
      </w:r>
      <w:r>
        <w:rPr>
          <w:rFonts w:ascii="Times New Roman" w:hAnsi="Times New Roman"/>
          <w:color w:val="auto"/>
          <w:sz w:val="28"/>
        </w:rPr>
        <w:t xml:space="preserve">ЬСТВО ПОСТАНОВЛЯЕТ: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ind w:firstLine="709"/>
        <w:jc w:val="both"/>
        <w:spacing w:after="0" w:line="240" w:lineRule="auto"/>
        <w:rPr>
          <w:rStyle w:val="868"/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Внести в приложение к постановлению Правительства Камчатского края от 26.04.2024 № 207-П «Об утверждении Порядка предоставления из краевого бюджета субсидии Микрокредитной компании Камчатский государственный фонд поддержки предпринимательства на финансовое</w:t>
      </w:r>
      <w:r>
        <w:rPr>
          <w:rFonts w:ascii="Times New Roman" w:hAnsi="Times New Roman"/>
          <w:color w:val="auto"/>
          <w:sz w:val="28"/>
        </w:rPr>
        <w:t xml:space="preserve"> обеспечение затрат, связанных с оказанием услуг по предоставлению финансовой поддержки промышленным предприятиям» изменение, изложив его в редакции согласно приложению к настоящему постановлению.</w:t>
      </w:r>
      <w:r>
        <w:rPr>
          <w:rStyle w:val="868"/>
          <w:rFonts w:ascii="Times New Roman" w:hAnsi="Times New Roman"/>
          <w:color w:val="auto"/>
          <w:sz w:val="28"/>
        </w:rPr>
      </w:r>
      <w:r>
        <w:rPr>
          <w:rStyle w:val="868"/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Настоящее постановление </w:t>
      </w:r>
      <w:r>
        <w:rPr>
          <w:rFonts w:ascii="Times New Roman" w:hAnsi="Times New Roman"/>
          <w:color w:val="auto"/>
          <w:sz w:val="28"/>
        </w:rPr>
        <w:t xml:space="preserve">вступает в силу после дня его официального опубликования.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tbl>
      <w:tblPr>
        <w:tblW w:w="971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2848"/>
        <w:gridCol w:w="2559"/>
      </w:tblGrid>
      <w:tr>
        <w:tblPrEx/>
        <w:trPr>
          <w:trHeight w:val="659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4306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868"/>
                <w:rFonts w:ascii="Times New Roman" w:hAnsi="Times New Roman"/>
                <w:color w:val="auto"/>
                <w:sz w:val="28"/>
              </w:rPr>
            </w:pPr>
            <w:r>
              <w:rPr>
                <w:rStyle w:val="868"/>
                <w:rFonts w:ascii="Times New Roman" w:hAnsi="Times New Roman"/>
                <w:color w:val="auto"/>
                <w:sz w:val="28"/>
              </w:rPr>
              <w:t xml:space="preserve">Председатель </w:t>
            </w:r>
            <w:r>
              <w:rPr>
                <w:rStyle w:val="868"/>
                <w:rFonts w:ascii="Times New Roman" w:hAnsi="Times New Roman"/>
                <w:color w:val="auto"/>
                <w:sz w:val="28"/>
              </w:rPr>
            </w:r>
            <w:r>
              <w:rPr>
                <w:rStyle w:val="868"/>
                <w:rFonts w:ascii="Times New Roman" w:hAnsi="Times New Roman"/>
                <w:color w:val="auto"/>
                <w:sz w:val="28"/>
              </w:rPr>
            </w:r>
          </w:p>
          <w:p>
            <w:pPr>
              <w:spacing w:after="0" w:line="240" w:lineRule="auto"/>
              <w:rPr>
                <w:rStyle w:val="868"/>
                <w:rFonts w:ascii="Times New Roman" w:hAnsi="Times New Roman"/>
                <w:color w:val="auto"/>
                <w:sz w:val="28"/>
              </w:rPr>
            </w:pPr>
            <w:r>
              <w:rPr>
                <w:rStyle w:val="868"/>
                <w:rFonts w:ascii="Times New Roman" w:hAnsi="Times New Roman"/>
                <w:color w:val="auto"/>
                <w:sz w:val="28"/>
              </w:rPr>
              <w:t xml:space="preserve">Правительства </w:t>
            </w:r>
            <w:r>
              <w:rPr>
                <w:rStyle w:val="868"/>
                <w:rFonts w:ascii="Times New Roman" w:hAnsi="Times New Roman"/>
                <w:color w:val="auto"/>
                <w:sz w:val="28"/>
              </w:rPr>
            </w:r>
            <w:r>
              <w:rPr>
                <w:rStyle w:val="868"/>
                <w:rFonts w:ascii="Times New Roman" w:hAnsi="Times New Roman"/>
                <w:color w:val="auto"/>
                <w:sz w:val="28"/>
              </w:rPr>
            </w:r>
          </w:p>
          <w:p>
            <w:pPr>
              <w:spacing w:after="0" w:line="240" w:lineRule="auto"/>
              <w:rPr>
                <w:color w:val="ff0000"/>
              </w:rPr>
            </w:pPr>
            <w:r>
              <w:rPr>
                <w:rStyle w:val="868"/>
                <w:rFonts w:ascii="Times New Roman" w:hAnsi="Times New Roman"/>
                <w:color w:val="auto"/>
                <w:sz w:val="28"/>
              </w:rPr>
              <w:t xml:space="preserve">Камчатского края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848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</w:r>
          </w:p>
          <w:p>
            <w:pPr>
              <w:ind w:left="276"/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ff0000"/>
                <w:sz w:val="24"/>
              </w:rPr>
            </w:r>
            <w:r>
              <w:rPr>
                <w:rFonts w:ascii="Times New Roman" w:hAnsi="Times New Roman"/>
                <w:color w:val="ff0000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textDirection w:val="lrTb"/>
            <w:noWrap w:val="false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</w:rPr>
            </w:r>
            <w:r>
              <w:rPr>
                <w:rFonts w:ascii="Times New Roman" w:hAnsi="Times New Roman"/>
                <w:color w:val="ff0000"/>
                <w:sz w:val="28"/>
              </w:rPr>
            </w:r>
            <w:r>
              <w:rPr>
                <w:rFonts w:ascii="Times New Roman" w:hAnsi="Times New Roman"/>
                <w:color w:val="ff0000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Ю.С. Морозова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tbl>
      <w:tblPr>
        <w:tblStyle w:val="91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color w:val="auto"/>
                <w:highlight w:val="yellow"/>
              </w:rPr>
              <w:br w:type="page" w:clear="all"/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  <w:br w:type="page" w:clear="all"/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№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tbl>
      <w:tblPr>
        <w:tblStyle w:val="91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br w:type="page" w:clear="all"/>
            </w:r>
            <w:r>
              <w:br w:type="page" w:clear="all"/>
            </w:r>
            <w:r>
              <w:rPr>
                <w:color w:val="auto"/>
                <w:highlight w:val="yellow"/>
              </w:rPr>
              <w:br w:type="page" w:clear="all"/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  <w:br w:type="page" w:clear="all"/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«Приложение к постановлению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  <w:r>
              <w:rPr>
                <w:rFonts w:ascii="Times New Roman" w:hAnsi="Times New Roman"/>
                <w:color w:val="auto"/>
                <w:sz w:val="28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от</w:t>
            </w:r>
            <w:r>
              <w:rPr>
                <w:rFonts w:ascii="Times New Roman" w:hAnsi="Times New Roman"/>
                <w:color w:val="auto"/>
                <w:sz w:val="28"/>
              </w:rPr>
            </w:r>
            <w:r>
              <w:rPr>
                <w:rFonts w:ascii="Times New Roman" w:hAnsi="Times New Roman"/>
                <w:color w:val="auto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center"/>
              <w:rPr>
                <w:rFonts w:ascii="Times New Roman" w:hAnsi="Times New Roman"/>
                <w:color w:val="ffffff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18.07.2025</w:t>
            </w:r>
            <w:r>
              <w:rPr>
                <w:rFonts w:ascii="Times New Roman" w:hAnsi="Times New Roman"/>
                <w:color w:val="ffffff" w:themeColor="text1"/>
                <w:sz w:val="28"/>
              </w:rPr>
            </w:r>
            <w:r>
              <w:rPr>
                <w:rFonts w:ascii="Times New Roman" w:hAnsi="Times New Roman"/>
                <w:color w:val="ffffff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rPr>
                <w:rFonts w:ascii="Times New Roman" w:hAnsi="Times New Roman"/>
                <w:color w:val="auto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№</w:t>
            </w:r>
            <w:r>
              <w:rPr>
                <w:rFonts w:ascii="Times New Roman" w:hAnsi="Times New Roman"/>
                <w:color w:val="auto" w:themeColor="text1"/>
                <w:sz w:val="28"/>
              </w:rPr>
            </w:r>
            <w:r>
              <w:rPr>
                <w:rFonts w:ascii="Times New Roman" w:hAnsi="Times New Roman"/>
                <w:color w:val="auto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center"/>
              <w:rPr>
                <w:rFonts w:ascii="Times New Roman" w:hAnsi="Times New Roman"/>
                <w:color w:val="auto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317-П</w:t>
            </w:r>
            <w:r>
              <w:rPr>
                <w:rFonts w:ascii="Times New Roman" w:hAnsi="Times New Roman"/>
                <w:color w:val="auto" w:themeColor="text1"/>
                <w:sz w:val="28"/>
              </w:rPr>
            </w:r>
            <w:r>
              <w:rPr>
                <w:rFonts w:ascii="Times New Roman" w:hAnsi="Times New Roman"/>
                <w:color w:val="auto" w:themeColor="text1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jc w:val="center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  <w:t xml:space="preserve">Порядок</w:t>
      </w: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</w:r>
    </w:p>
    <w:p>
      <w:pPr>
        <w:jc w:val="center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предоставления из краевого бюджета субсидии Микрокредитной компании Камчатский государственный фонд поддержки предпринимательства на финансовое обеспечение затрат, связанных с оказанием услуг по предоставлению финансовой поддержки промышленным предп</w:t>
      </w:r>
      <w:r>
        <w:rPr>
          <w:rFonts w:ascii="TimesNewRomanPSMT" w:hAnsi="TimesNewRomanPSMT" w:cs="TimesNewRomanPSMT"/>
          <w:sz w:val="28"/>
          <w:szCs w:val="28"/>
        </w:rPr>
        <w:t xml:space="preserve">риятиям</w:t>
      </w: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1.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Н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астоящий Порядок регулирует вопросы предоставления из краевого бюджета за счет средств краевого бюджета субсидии Микрокредитной компании Камчатский государственный фонд поддержки предпринимательства на финансовое обеспечение затрат, связанных с оказанием у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с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луг по предоставлению финансовой поддержки промышленным предприятиям (далее – субсидия), в целях реализации дополнительных мероприятий по финансовому обеспечению деятельности (докапитализации) регионального фонда развития промышленности для достижения резу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л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ьтатов комплекса процессных мероприятий «Меры стимулирования промышленного комплекса Камчатского края» государственной программы Камчатского края «Развитие экономики и внешнеэкономической деятельности Камчатского края», утвержденной постановлением Правител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ьства Камчатского от 28.12.2023 № 711-П (далее – комплекс процессных мероприятий).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868"/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2. Субсидия носит целевой характер и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не может быть израсходована на цели, не предусмотренные настоящим Порядком.</w:t>
      </w:r>
      <w:r>
        <w:rPr>
          <w:rStyle w:val="868"/>
          <w:rFonts w:ascii="Times New Roman" w:hAnsi="Times New Roman"/>
          <w:color w:val="auto"/>
          <w:sz w:val="28"/>
          <w:szCs w:val="28"/>
        </w:rPr>
      </w:r>
      <w:r>
        <w:rPr>
          <w:rStyle w:val="868"/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3. </w:t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Министерство экономического развития Камчатского края </w:t>
      </w:r>
      <w:r>
        <w:rPr>
          <w:rFonts w:ascii="Times New Roman" w:hAnsi="Times New Roman"/>
          <w:color w:val="auto"/>
          <w:sz w:val="28"/>
          <w:szCs w:val="28"/>
        </w:rPr>
        <w:t xml:space="preserve">(далее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</w:rPr>
        <w:t xml:space="preserve"> Министерство) осуществляет функции главного распорядителя бюджетных средств, до которо</w:t>
      </w:r>
      <w:r>
        <w:rPr>
          <w:rFonts w:ascii="Times New Roman" w:hAnsi="Times New Roman"/>
          <w:color w:val="auto"/>
          <w:sz w:val="28"/>
          <w:szCs w:val="28"/>
        </w:rPr>
        <w:t xml:space="preserve">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</w:t>
      </w:r>
      <w:r>
        <w:rPr>
          <w:rFonts w:ascii="Times New Roman" w:hAnsi="Times New Roman"/>
          <w:color w:val="auto"/>
          <w:sz w:val="28"/>
          <w:szCs w:val="28"/>
        </w:rPr>
        <w:t xml:space="preserve"> на соответствующий финансовый год и плановый период.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Субсидия предоставляется Министерством в пределах лимитов бюдже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тных обязательств, доведенных в установленном порядке до Министерства на предоставление субсидии.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Способом предоставления субсидии является финансовое обеспечение затрат.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Информация о субсидии размещается на едином портале бюджетной системы Российской Ф</w:t>
      </w:r>
      <w:r>
        <w:rPr>
          <w:rFonts w:ascii="Times New Roman" w:hAnsi="Times New Roman"/>
          <w:color w:val="auto"/>
          <w:sz w:val="28"/>
          <w:szCs w:val="28"/>
        </w:rPr>
        <w:t xml:space="preserve">едерации в информационно-телекоммуникационной сети «Интернет» (далее – сеть «Интернет») (в разделе единого портала) в порядке, установленном Министерством финансов Российской Федерации,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течение 10 рабочих дней со дня, следующего за днем доведения бюджет</w:t>
      </w:r>
      <w:r>
        <w:rPr>
          <w:rFonts w:ascii="Times New Roman" w:hAnsi="Times New Roman"/>
          <w:sz w:val="28"/>
          <w:szCs w:val="28"/>
        </w:rPr>
        <w:t xml:space="preserve">ных ассигнований на предоставление субсидии до Министерства.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Получателем субсидии </w:t>
      </w:r>
      <w:r>
        <w:rPr>
          <w:rFonts w:ascii="Times New Roman" w:hAnsi="Times New Roman"/>
          <w:sz w:val="28"/>
          <w:szCs w:val="28"/>
        </w:rPr>
        <w:t xml:space="preserve">в соответствии с Законом Камчатского края </w:t>
      </w:r>
      <w:r>
        <w:rPr>
          <w:rFonts w:ascii="Times New Roman" w:hAnsi="Times New Roman"/>
          <w:sz w:val="28"/>
          <w:szCs w:val="28"/>
        </w:rPr>
        <w:br/>
        <w:t xml:space="preserve">от 26.11.2025 № 537 «О краевом бюджете на 2026 год и на плановый </w:t>
      </w:r>
      <w:r>
        <w:rPr>
          <w:rFonts w:ascii="Times New Roman" w:hAnsi="Times New Roman"/>
          <w:sz w:val="28"/>
          <w:szCs w:val="28"/>
        </w:rPr>
        <w:br/>
        <w:t xml:space="preserve">период 2027 и 2028 годов» (далее – Закон о краевом бюджете) является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Микрокредитная компания Камчатский государственный фонд поддержки предпринимательства</w:t>
      </w:r>
      <w:r>
        <w:rPr>
          <w:rFonts w:ascii="TimesNewRomanPSMT" w:hAnsi="TimesNewRomanPSMT" w:cs="TimesNewRomanPSMT"/>
          <w:sz w:val="28"/>
          <w:szCs w:val="28"/>
        </w:rPr>
        <w:t xml:space="preserve"> (далее – получатель субсидии)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6. </w:t>
      </w:r>
      <w:r>
        <w:rPr>
          <w:rStyle w:val="868"/>
          <w:rFonts w:ascii="Times New Roman" w:hAnsi="Times New Roman" w:cs="Times New Roman"/>
          <w:sz w:val="28"/>
          <w:szCs w:val="28"/>
        </w:rPr>
        <w:t xml:space="preserve">К направлениям расходов, источником финансового обеспечения которых является субсидия, относится предоставление финансовой поддержки в форме займов промышленным предприятиям, зарегистрированным и осуществляющим деятельность на территории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настоящего Порядка документы, следующим требованиям: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изованное через участие в капитале указанных публичных акционерных обществ;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4) получатель субсидии не получает средства из краевого бюджета на цель, указанную в части 1 настоящего Порядка, на основании иных нормативных правовых актов Камчатского края;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6) у получателя субсидии отсутствуют просроченная задолженность по возврату в краевой бюджет иных субсидий, бюджетных инвестиций, предоставленных в том числе в соответствии с иными нормативными правовыми актами Камчатского края, и иная просроченная (неурегу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лированная) задолженность по денежным обязательствам перед Камчатским краем;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7) получатель субсидии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еятельность получателя субсидии не должна быть приостановлена в порядке, предусмотренном законодательством Российской Федерации;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8) в реестре дисквалифицированных лиц отсутствуют сведения о дисквалифицированном руководителе или главном бухгалтере получателя субсидии;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9)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кой Федерации на дату, предшествующую дате подачи заявки на предоставление субсидии </w:t>
      </w:r>
      <w:r/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(далее – заявка), не более чем на 30 календарных дней.</w:t>
      </w:r>
      <w:r/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8. </w:t>
      </w:r>
      <w:r>
        <w:rPr>
          <w:rFonts w:ascii="Times New Roman" w:hAnsi="Times New Roman"/>
          <w:color w:val="auto"/>
          <w:sz w:val="28"/>
          <w:szCs w:val="28"/>
        </w:rPr>
        <w:t xml:space="preserve">Для получения субсидии получатель субсидии не позднее 1 декабря текущего финансового года пр</w:t>
      </w:r>
      <w:r>
        <w:rPr>
          <w:rFonts w:ascii="Times New Roman" w:hAnsi="Times New Roman"/>
          <w:color w:val="auto"/>
          <w:sz w:val="28"/>
          <w:szCs w:val="28"/>
        </w:rPr>
        <w:t xml:space="preserve">едставляет в Министерство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заявку в произвольной форме с указанием счета получателя с</w:t>
      </w:r>
      <w:r>
        <w:rPr>
          <w:rFonts w:ascii="Times New Roman" w:hAnsi="Times New Roman"/>
          <w:sz w:val="28"/>
          <w:szCs w:val="28"/>
        </w:rPr>
        <w:t xml:space="preserve">убсидии, открытого в учреждениях Центрального банка Российской Федерации или кредитных организациях, содержащую в том числе информацию о соответствии получателя субсидии требованиям, установленным </w:t>
      </w:r>
      <w:hyperlink r:id="rId12" w:tooltip="https://login.consultant.ru/link/?req=doc&amp;base=RLAW296&amp;n=214600&amp;dst=100031" w:history="1">
        <w:r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>
        <w:rPr>
          <w:rFonts w:ascii="Times New Roman" w:hAnsi="Times New Roman"/>
          <w:sz w:val="28"/>
          <w:szCs w:val="28"/>
        </w:rPr>
        <w:t xml:space="preserve">7 настоящего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копию устава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справку, подписанную руководителем получателя субсидии, подтверждающую соответствие получателя субсидии требованиям, установленным частью 7 настоящего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9. Документы, указанные в части 8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 настоящего Порядка, подлежат регистрации в день их поступления в Министерство.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10. Министерство в течение 10 рабочих дней со дня регистрации документов, указанных в </w:t>
      </w:r>
      <w:hyperlink r:id="rId13" w:tooltip="https://login.consultant.ru/link/?req=doc&amp;base=RLAW296&amp;n=214600&amp;dst=100041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части 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</w:t>
      </w:r>
      <w:r>
        <w:rPr>
          <w:rFonts w:ascii="Times New Roman" w:hAnsi="Times New Roman"/>
          <w:color w:val="auto"/>
          <w:sz w:val="28"/>
          <w:szCs w:val="28"/>
        </w:rPr>
        <w:t xml:space="preserve">тановленным </w:t>
      </w:r>
      <w:hyperlink r:id="rId14" w:tooltip="https://login.consultant.ru/link/?req=doc&amp;base=RLAW296&amp;n=214600&amp;dst=100031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частью 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7 </w:t>
      </w:r>
      <w:r>
        <w:rPr>
          <w:rFonts w:ascii="Times New Roman" w:hAnsi="Times New Roman"/>
          <w:color w:val="auto"/>
          <w:sz w:val="28"/>
          <w:szCs w:val="28"/>
        </w:rPr>
        <w:t xml:space="preserve">настоящего Порядка, посредством получения сведений и информации,</w:t>
      </w:r>
      <w:r>
        <w:rPr>
          <w:rFonts w:ascii="Times New Roman" w:hAnsi="Times New Roman"/>
          <w:color w:val="auto"/>
          <w:sz w:val="28"/>
          <w:szCs w:val="28"/>
        </w:rPr>
        <w:t xml:space="preserve"> размещенной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а также использования иных форм проверки, не противоречащих законодательству </w:t>
      </w:r>
      <w:r>
        <w:rPr>
          <w:rFonts w:ascii="Times New Roman" w:hAnsi="Times New Roman"/>
          <w:color w:val="auto"/>
          <w:sz w:val="28"/>
          <w:szCs w:val="28"/>
        </w:rPr>
        <w:t xml:space="preserve">Российской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11. </w:t>
      </w:r>
      <w:r>
        <w:rPr>
          <w:rFonts w:ascii="Times New Roman" w:hAnsi="Times New Roman"/>
          <w:color w:val="auto"/>
          <w:sz w:val="28"/>
          <w:szCs w:val="28"/>
        </w:rPr>
        <w:t xml:space="preserve">Министерство в течение 10 рабочих дней со дня истечения срока, указанного в части 10 настоящего Порядка, принимает решение о предоставлении субсидии в форме приказа Министерства или об отказе в предоставлении субсидии.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12. Ос</w:t>
      </w:r>
      <w:r>
        <w:rPr>
          <w:rFonts w:ascii="Times New Roman" w:hAnsi="Times New Roman"/>
          <w:color w:val="auto"/>
          <w:sz w:val="28"/>
          <w:szCs w:val="28"/>
        </w:rPr>
        <w:t xml:space="preserve">нованиями для отказа в предоставлении субсидии являются: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несоответствие представленных получателем субсидии документов требованиям, установленным частью 8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/>
          <w:color w:val="auto"/>
          <w:sz w:val="28"/>
          <w:szCs w:val="28"/>
        </w:rPr>
        <w:t xml:space="preserve">)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несоответствие получателя субсидии требованиям, установленным частью 7 настоящего Порядка.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13. В случае принятия решения об отказе в предоставлении субсидии Министерств</w:t>
      </w:r>
      <w:r>
        <w:rPr>
          <w:rFonts w:ascii="Times New Roman" w:hAnsi="Times New Roman"/>
          <w:color w:val="auto"/>
          <w:sz w:val="28"/>
          <w:szCs w:val="28"/>
        </w:rPr>
        <w:t xml:space="preserve">о в течение 5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</w:t>
      </w:r>
      <w:r>
        <w:rPr>
          <w:rFonts w:ascii="Times New Roman" w:hAnsi="Times New Roman"/>
          <w:color w:val="auto"/>
          <w:sz w:val="28"/>
          <w:szCs w:val="28"/>
        </w:rPr>
        <w:t xml:space="preserve">ечивающим подтверждение получения указанного уведомления получателем субсидии.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Отказ в предоставлении субсидии не препятствует повторной подаче получателем субсидии документов в порядке и срок, указанные в части </w:t>
      </w:r>
      <w:r>
        <w:rPr>
          <w:rFonts w:ascii="Times New Roman" w:hAnsi="Times New Roman"/>
          <w:sz w:val="28"/>
          <w:szCs w:val="28"/>
        </w:rPr>
        <w:t xml:space="preserve">8 настоящего Порядка, после устранения получателем субсидии причин отказа.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15. </w:t>
      </w:r>
      <w:r>
        <w:rPr>
          <w:rStyle w:val="868"/>
          <w:rFonts w:ascii="Times New Roman" w:hAnsi="Times New Roman"/>
          <w:color w:val="auto"/>
          <w:sz w:val="28"/>
          <w:szCs w:val="28"/>
        </w:rPr>
        <w:t xml:space="preserve">В случае принятия решения о предоставлении субсидии Министерство заключает с получателем субсидии соглашение о предоставлении субсидии (далее – соглашение) в соответствии с типовой формой, утвержденной Министерством финансов Камчатского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 порядке и сроки, ус</w:t>
      </w:r>
      <w:r>
        <w:rPr>
          <w:rFonts w:ascii="Times New Roman" w:hAnsi="Times New Roman"/>
          <w:color w:val="auto"/>
          <w:sz w:val="28"/>
          <w:szCs w:val="28"/>
        </w:rPr>
        <w:t xml:space="preserve">тановленные </w:t>
      </w:r>
      <w:hyperlink w:tooltip="#P131" w:anchor="P131" w:history="1">
        <w:r>
          <w:rPr>
            <w:rFonts w:ascii="Times New Roman" w:hAnsi="Times New Roman"/>
            <w:color w:val="auto"/>
            <w:sz w:val="28"/>
            <w:szCs w:val="28"/>
          </w:rPr>
          <w:t xml:space="preserve">частью 1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7 настоящего Порядка.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Соглашение, дополнительное соглашение к соглашению, в том числе дополнительное соглашение о расторжении соглашения (при необходимости), заключаются в государственной интегриро</w:t>
      </w:r>
      <w:r>
        <w:rPr>
          <w:rFonts w:ascii="Times New Roman" w:hAnsi="Times New Roman" w:cs="Times New Roman"/>
          <w:sz w:val="28"/>
          <w:szCs w:val="28"/>
        </w:rPr>
        <w:t xml:space="preserve">ванной информационной системе управления общественными финансами «Электронный бюджет» (далее </w:t>
      </w:r>
      <w:r>
        <w:rPr>
          <w:rStyle w:val="868"/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типовыми формами, утвержденными Министерством финансов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Заключение соглашения осуществляется в с</w:t>
      </w:r>
      <w:r>
        <w:rPr>
          <w:rFonts w:ascii="Times New Roman" w:hAnsi="Times New Roman" w:cs="Times New Roman"/>
          <w:sz w:val="28"/>
          <w:szCs w:val="28"/>
        </w:rPr>
        <w:t xml:space="preserve">ледующем порядке и сроки: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получатель субсидии в течение 5 рабочих дней со дня размещения проекта соглашен</w:t>
      </w:r>
      <w:r>
        <w:rPr>
          <w:rFonts w:ascii="Times New Roman" w:hAnsi="Times New Roman" w:cs="Times New Roman"/>
          <w:sz w:val="28"/>
          <w:szCs w:val="28"/>
        </w:rPr>
        <w:t xml:space="preserve">ия Министерством в ГИИС «Электронный бюджет» </w:t>
      </w:r>
      <w:r>
        <w:rPr>
          <w:rFonts w:ascii="Times New Roman" w:hAnsi="Times New Roman" w:cs="Times New Roman"/>
          <w:sz w:val="28"/>
          <w:szCs w:val="28"/>
        </w:rPr>
        <w:t xml:space="preserve">подписывает проект соглашения усиленной квалифицированной электронной подписью в ГИИС «Электронный бюджет». В случае, если получатель субсидии не подписал проект соглашения в течение 5 рабочих дней со дня размещ</w:t>
      </w:r>
      <w:r>
        <w:rPr>
          <w:rFonts w:ascii="Times New Roman" w:hAnsi="Times New Roman" w:cs="Times New Roman"/>
          <w:sz w:val="28"/>
          <w:szCs w:val="28"/>
        </w:rPr>
        <w:t xml:space="preserve">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Министерство в течение 5 рабочих дней со дня подписания получателем субс</w:t>
      </w:r>
      <w:r>
        <w:rPr>
          <w:rFonts w:ascii="Times New Roman" w:hAnsi="Times New Roman" w:cs="Times New Roman"/>
          <w:sz w:val="28"/>
          <w:szCs w:val="28"/>
        </w:rPr>
        <w:t xml:space="preserve">идии проекта соглашения подписывает его со своей стороны в ГИИС «Электронный бюджет» усиленной квалифицированной электронной подписью;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соглашение считается заключенным после подписания его получателем субсидии и Министерством в ГИИС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Обязательными условиями предоставления субсидии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включаемые соответственно в соглашение и договоры (соглашения), заключенные с получателем субсидии: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согласие получателя субсидии, лиц, получающих средства на основании договоров (соглаше</w:t>
      </w:r>
      <w:r>
        <w:rPr>
          <w:rFonts w:ascii="Times New Roman" w:hAnsi="Times New Roman" w:cs="Times New Roman"/>
          <w:sz w:val="28"/>
          <w:szCs w:val="28"/>
        </w:rPr>
        <w:t xml:space="preserve">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</w:t>
      </w:r>
      <w:r>
        <w:rPr>
          <w:rFonts w:ascii="Times New Roman" w:hAnsi="Times New Roman" w:cs="Times New Roman"/>
          <w:sz w:val="28"/>
          <w:szCs w:val="28"/>
        </w:rPr>
        <w:t xml:space="preserve">астием таких товариществ и обществ в их уставных (складочных) капиталах), на осуществление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их проверки Министерством соблюдения порядка и условий предоставления субсидии, в том числе в части достижения результата предоставления с</w:t>
      </w:r>
      <w:r>
        <w:rPr>
          <w:rFonts w:ascii="Times New Roman" w:hAnsi="Times New Roman" w:cs="Times New Roman"/>
          <w:sz w:val="28"/>
          <w:szCs w:val="28"/>
        </w:rPr>
        <w:t xml:space="preserve">убсидии, а также проверки органами государственного финансового контроля в соответствии со </w:t>
      </w:r>
      <w:hyperlink r:id="rId15" w:tooltip="https://login.consultant.ru/link/?req=doc&amp;base=LAW&amp;n=466790&amp;dst=3704" w:history="1">
        <w:r>
          <w:rPr>
            <w:rFonts w:ascii="Times New Roman" w:hAnsi="Times New Roman" w:cs="Times New Roman"/>
            <w:sz w:val="28"/>
            <w:szCs w:val="28"/>
          </w:rPr>
          <w:t xml:space="preserve">статья</w:t>
        </w:r>
        <w:r>
          <w:rPr>
            <w:rFonts w:ascii="Times New Roman" w:hAnsi="Times New Roman" w:cs="Times New Roman"/>
            <w:sz w:val="28"/>
            <w:szCs w:val="28"/>
          </w:rPr>
          <w:t xml:space="preserve">ми 268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66790&amp;dst=3722" w:history="1">
        <w:r>
          <w:rPr>
            <w:rFonts w:ascii="Times New Roman" w:hAnsi="Times New Roman" w:cs="Times New Roman"/>
            <w:sz w:val="28"/>
            <w:szCs w:val="28"/>
          </w:rPr>
          <w:t xml:space="preserve">269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запрет приобретения получателем субсид</w:t>
      </w:r>
      <w:r>
        <w:rPr>
          <w:rFonts w:ascii="Times New Roman" w:hAnsi="Times New Roman" w:cs="Times New Roman"/>
          <w:sz w:val="28"/>
          <w:szCs w:val="28"/>
        </w:rPr>
        <w:t xml:space="preserve">ии, а также иными юридическими лицами, получающими средства на основании договоров (соглашений), заключенных с получателем субсидии, за счет полученных средств иностранной валюты, за исключением операций, осуществляемых в соответствии с валютным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включаемые в соглашение: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согласование новых условий соглашения или условия о расторжении соглашения при недостижении согл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принятие получателем субсидии обязательства о достижении з</w:t>
      </w:r>
      <w:r>
        <w:rPr>
          <w:rFonts w:ascii="Times New Roman" w:hAnsi="Times New Roman" w:cs="Times New Roman"/>
          <w:sz w:val="28"/>
          <w:szCs w:val="28"/>
        </w:rPr>
        <w:t xml:space="preserve">начения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субсидии обязательства о представлении отчетов, предусмотренных </w:t>
      </w:r>
      <w:hyperlink w:tooltip="#P180" w:anchor="P180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6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 случаях, предусмотренных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Федерации и (или) законодательством Камчатского края, в соглашение могут быть внесены изменения. Внесение изменений в соглашение оформляется в виде дополнительного соглашения к соглашению (дополнительного соглашения о расторжении соглашения) (при необходи</w:t>
      </w:r>
      <w:r>
        <w:rPr>
          <w:rFonts w:ascii="Times New Roman" w:hAnsi="Times New Roman"/>
          <w:sz w:val="28"/>
          <w:szCs w:val="28"/>
        </w:rPr>
        <w:t xml:space="preserve">мости) в соответствии с типовыми формами, утвержденными Министерством финансов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принятия решения о заключении дополнительного соглашения к соглашению (дополнительного соглашения о расторжении со</w:t>
      </w:r>
      <w:r>
        <w:rPr>
          <w:rFonts w:ascii="Times New Roman" w:hAnsi="Times New Roman" w:cs="Times New Roman"/>
          <w:sz w:val="28"/>
          <w:szCs w:val="28"/>
        </w:rPr>
        <w:t xml:space="preserve">глашения) размещает в ГИИС «Электронный бюджет» проект дополнительного соглашения к соглашению (дополнительного соглашения о расторжении соглашения).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5 рабочих дней со дня размещения Министерством проекта дополнительного согла</w:t>
      </w:r>
      <w:r>
        <w:rPr>
          <w:rFonts w:ascii="Times New Roman" w:hAnsi="Times New Roman" w:cs="Times New Roman"/>
          <w:sz w:val="28"/>
          <w:szCs w:val="28"/>
        </w:rPr>
        <w:t xml:space="preserve">шения к соглашению (дополнительного соглашения о расторжении соглашения) в ГИИС «Электронный бюджет», но не позднее 20 декабря текущего финансового года, подписывает дополнительное соглашение к соглашению (дополнительное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) усиленной квалифицированной электронной подписью в ГИИС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соглашению (дополните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льного соглашения о расторжении соглашения) подписывает его со своей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При реорганизации получателя субсидии в форме слияния, присоединения или преобразования в соглаше</w:t>
      </w:r>
      <w:r>
        <w:rPr>
          <w:rFonts w:ascii="Times New Roman" w:hAnsi="Times New Roman" w:cs="Times New Roman"/>
          <w:sz w:val="28"/>
          <w:szCs w:val="28"/>
        </w:rPr>
        <w:t xml:space="preserve">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</w:t>
      </w:r>
      <w:r>
        <w:rPr>
          <w:rFonts w:ascii="Times New Roman" w:hAnsi="Times New Roman" w:cs="Times New Roman"/>
          <w:sz w:val="28"/>
          <w:szCs w:val="28"/>
        </w:rPr>
        <w:t xml:space="preserve">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средств субсидии в краевой бюджет.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Министерство перечисляет субсидию на счет, открытый получателем субсидии в учреждениях Центрального б</w:t>
      </w:r>
      <w:r>
        <w:rPr>
          <w:rFonts w:ascii="Times New Roman" w:hAnsi="Times New Roman" w:cs="Times New Roman"/>
          <w:sz w:val="28"/>
          <w:szCs w:val="28"/>
        </w:rPr>
        <w:t xml:space="preserve">анка Российской Федерации или кредитных организациях, реквизиты которого указаны в соглашении, в сроки в соответствии с планом-графиком перечисления субсидии, установленным в приложении к соглашению.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в размере,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определенном Законом о краевом бюджете, и составляет в 2026 году – </w:t>
        <w:br/>
      </w:r>
      <w:r>
        <w:rPr>
          <w:rFonts w:ascii="Times New Roman" w:hAnsi="Times New Roman" w:cs="Times New Roman"/>
          <w:sz w:val="28"/>
          <w:szCs w:val="28"/>
        </w:rPr>
        <w:t xml:space="preserve">20 527 568,00</w:t>
      </w:r>
      <w:r>
        <w:rPr>
          <w:rFonts w:ascii="Times New Roman" w:hAnsi="Times New Roman" w:cs="Times New Roman"/>
          <w:sz w:val="28"/>
          <w:szCs w:val="28"/>
        </w:rPr>
        <w:t xml:space="preserve"> рублей, в 2027 году – 10 000 000,00 рублей, </w:t>
      </w:r>
      <w:r>
        <w:rPr>
          <w:rFonts w:ascii="Times New Roman" w:hAnsi="Times New Roman" w:cs="Times New Roman"/>
          <w:sz w:val="28"/>
          <w:szCs w:val="28"/>
        </w:rPr>
        <w:t xml:space="preserve">в 2028 году – 10 000 000,00 рублей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Средства, полученные при возврате промышленными предприятиями </w:t>
      </w:r>
      <w:r>
        <w:rPr>
          <w:rFonts w:ascii="Times New Roman" w:hAnsi="Times New Roman" w:cs="Times New Roman"/>
          <w:sz w:val="28"/>
          <w:szCs w:val="28"/>
        </w:rPr>
        <w:t xml:space="preserve">займов, источником финансового обеспечения которых являются средства </w:t>
      </w:r>
      <w:r>
        <w:rPr>
          <w:rFonts w:ascii="Times New Roman" w:hAnsi="Times New Roman" w:cs="Times New Roman"/>
          <w:sz w:val="28"/>
          <w:szCs w:val="28"/>
        </w:rPr>
        <w:t xml:space="preserve">субсидии, получатель субсидии вправе использовать исключительно на цели </w:t>
      </w:r>
      <w:r>
        <w:rPr>
          <w:rFonts w:ascii="Times New Roman" w:hAnsi="Times New Roman" w:cs="Times New Roman"/>
          <w:sz w:val="28"/>
          <w:szCs w:val="28"/>
        </w:rPr>
        <w:t xml:space="preserve">оказания финансовой поддержки субъектам промышленности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11 Федерального закона от 31.12.2014 № 488-ФЗ «О промышленной </w:t>
      </w:r>
      <w:r>
        <w:rPr>
          <w:rFonts w:ascii="Times New Roman" w:hAnsi="Times New Roman" w:cs="Times New Roman"/>
          <w:sz w:val="28"/>
          <w:szCs w:val="28"/>
        </w:rPr>
        <w:t xml:space="preserve">политике в Российской Федерации» и уставом получателя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Проценты и иные доходы в виде пени и штрафов по предоставленным </w:t>
      </w:r>
      <w:r>
        <w:rPr>
          <w:rFonts w:ascii="Times New Roman" w:hAnsi="Times New Roman" w:cs="Times New Roman"/>
          <w:sz w:val="28"/>
          <w:szCs w:val="28"/>
        </w:rPr>
        <w:t xml:space="preserve">промышленным предприятиям займам получатель субсидии вправе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на финансирование административно-хозяйственной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получателя субсидии.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24. </w:t>
      </w:r>
      <w:r>
        <w:rPr>
          <w:rFonts w:ascii="Times New Roman" w:hAnsi="Times New Roman"/>
          <w:sz w:val="28"/>
          <w:szCs w:val="28"/>
        </w:rPr>
        <w:t xml:space="preserve">Результатом предоставления субсидии по состоянию на 31 декабря года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является количество предоставленных мер поддержки </w:t>
      </w:r>
      <w:r>
        <w:rPr>
          <w:rFonts w:ascii="Times New Roman" w:hAnsi="Times New Roman"/>
          <w:sz w:val="28"/>
          <w:szCs w:val="28"/>
        </w:rPr>
        <w:t xml:space="preserve">в форме займов промышленным предприятиям, зарегистрированным и </w:t>
      </w:r>
      <w:r>
        <w:rPr>
          <w:rFonts w:ascii="Times New Roman" w:hAnsi="Times New Roman"/>
          <w:sz w:val="28"/>
          <w:szCs w:val="28"/>
        </w:rPr>
        <w:t xml:space="preserve">осуществляющим деятельность на территории Камчатского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 Значение результата предоставления субсидии устанавливается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Получатель субсидии ежекварта</w:t>
      </w:r>
      <w:r>
        <w:rPr>
          <w:rFonts w:ascii="Times New Roman" w:hAnsi="Times New Roman" w:cs="Times New Roman"/>
          <w:sz w:val="28"/>
          <w:szCs w:val="28"/>
        </w:rPr>
        <w:t xml:space="preserve">льно не позднее 15 календарного дня, следующего за отчетным кварталом, представляет в Министерство посредством ГИИС «Электронный бюджет» по формам, определенным типовыми формами соглашений, установленными Министерством финансов Камчатского края, следующие </w:t>
      </w:r>
      <w:r>
        <w:rPr>
          <w:rFonts w:ascii="Times New Roman" w:hAnsi="Times New Roman" w:cs="Times New Roman"/>
          <w:sz w:val="28"/>
          <w:szCs w:val="28"/>
        </w:rPr>
        <w:t xml:space="preserve">отчеты: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отчет о достижении значения результата предоставления субсидии, установленного </w:t>
      </w:r>
      <w:hyperlink w:tooltip="#P178" w:anchor="P178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об осуществлении расходов, источником финансового обеспечения которых является субсидия, с п</w:t>
      </w:r>
      <w:r>
        <w:rPr>
          <w:rFonts w:ascii="Times New Roman" w:hAnsi="Times New Roman" w:cs="Times New Roman"/>
          <w:sz w:val="28"/>
          <w:szCs w:val="28"/>
        </w:rPr>
        <w:t xml:space="preserve">риложением документов, подтверждающих фактически произведенные расходы.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Министерство в течение 10 рабочих дней со дня получения отчетов, указанных в </w:t>
      </w:r>
      <w:hyperlink w:tooltip="#P180" w:anchor="P180" w:history="1">
        <w:r>
          <w:rPr>
            <w:rFonts w:ascii="Times New Roman" w:hAnsi="Times New Roman" w:cs="Times New Roman"/>
            <w:sz w:val="28"/>
            <w:szCs w:val="28"/>
          </w:rPr>
          <w:t xml:space="preserve"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считается принятым после подписания его усиленной квалифицированной электронной подписью руководителя Министерства (уполномоче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нного им лица) в ГИИС «Электронный бюджет» в течение срока, указанного в абзаце первом настоящей части.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(уполномоченного им лица) в </w:t>
      </w:r>
      <w:r>
        <w:rPr>
          <w:rFonts w:ascii="Times New Roman" w:hAnsi="Times New Roman" w:cs="Times New Roman"/>
          <w:sz w:val="28"/>
          <w:szCs w:val="28"/>
        </w:rPr>
        <w:br/>
        <w:t xml:space="preserve">ГИИС «Электронный бюджет», в течение срока, указанного в абзаце первом настоящей части, в связи с непредставлением (представлением не в полном объеме) отчета, некорректным заполнением (незаполнением) получателем суб</w:t>
      </w:r>
      <w:r>
        <w:rPr>
          <w:rFonts w:ascii="Times New Roman" w:hAnsi="Times New Roman" w:cs="Times New Roman"/>
          <w:sz w:val="28"/>
          <w:szCs w:val="28"/>
        </w:rPr>
        <w:t xml:space="preserve">сидии всех обязательных для заполнения граф, предусмотренных в отчете.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протоколе, направленном получателю субсидии, указанном в абзаце третьем настоящей части, устанавливает срок представления скорректированного отчета.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Министерство пров</w:t>
      </w:r>
      <w:r>
        <w:rPr>
          <w:rFonts w:ascii="Times New Roman" w:hAnsi="Times New Roman" w:cs="Times New Roman"/>
          <w:sz w:val="28"/>
          <w:szCs w:val="28"/>
        </w:rPr>
        <w:t xml:space="preserve">одит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проверки соблюдения получателем субсидии, а также лицами, получающими средства на основании договоров (соглашений), заключенных с получателями субсидии, в целях исполнения обязательств по соглашению, условий и порядка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субсидии, в том числе в части достижения результатов предоставления субсидии, а органы государственного финансового контроля осуществляют проверки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/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Оформление результатов проверок осуществляется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</w:t>
      </w:r>
      <w:r>
        <w:rPr>
          <w:rFonts w:ascii="Times New Roman" w:hAnsi="Times New Roman" w:cs="Times New Roman"/>
          <w:sz w:val="28"/>
          <w:szCs w:val="28"/>
        </w:rPr>
        <w:t xml:space="preserve">жденного постановлением Правительства Российской Федерации </w:t>
        <w:br/>
      </w:r>
      <w:r/>
      <w:r>
        <w:rPr>
          <w:rFonts w:ascii="Times New Roman" w:hAnsi="Times New Roman" w:cs="Times New Roman"/>
          <w:sz w:val="28"/>
          <w:szCs w:val="28"/>
        </w:rPr>
        <w:t xml:space="preserve">от 17.08.2020 № 1235.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(или) органами государственного финансового контроля, а также в слу</w:t>
      </w:r>
      <w:r>
        <w:rPr>
          <w:rFonts w:ascii="Times New Roman" w:hAnsi="Times New Roman" w:cs="Times New Roman"/>
          <w:sz w:val="28"/>
          <w:szCs w:val="28"/>
        </w:rPr>
        <w:t xml:space="preserve">чае недостижения значения результата предоставления субсидии, средства субсидии подлежат возврату в краевой бюджет в следующем порядке и сроки: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</w:t>
      </w:r>
      <w:r>
        <w:rPr>
          <w:rFonts w:ascii="Times New Roman" w:hAnsi="Times New Roman" w:cs="Times New Roman"/>
          <w:sz w:val="28"/>
          <w:szCs w:val="28"/>
        </w:rPr>
        <w:t xml:space="preserve">ли) предписания органа государственного финансового контроля в сроки, указанные в представлении и (или) предписании;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т</w:t>
      </w:r>
      <w:r>
        <w:rPr>
          <w:rFonts w:ascii="Times New Roman" w:hAnsi="Times New Roman" w:cs="Times New Roman"/>
          <w:sz w:val="28"/>
          <w:szCs w:val="28"/>
        </w:rPr>
        <w:t xml:space="preserve">ечение 20 рабочих дней со дня выявления нарушения.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Получатель субсидии обязан возвратить средства субсидии в краевой бюджет в следующих размерах: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нарушения целей предоставления субсидии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>
        <w:rPr>
          <w:rStyle w:val="868"/>
          <w:rFonts w:ascii="Times New Roman" w:hAnsi="Times New Roman"/>
          <w:sz w:val="28"/>
          <w:szCs w:val="28"/>
        </w:rPr>
        <w:t xml:space="preserve">– </w:t>
      </w:r>
      <w:r>
        <w:rPr>
          <w:rStyle w:val="868"/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полном объеме;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недостижения значения результата предоставления субсидии, установленного соглашением,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= 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t xml:space="preserve">∑(1-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  <w:t xml:space="preserve">), 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 в краевой бюджет;</w:t>
      </w:r>
      <m:oMath>
        <m:r>
          <w:rPr>
            <w:rFonts w:ascii="Cambria Math" w:hAnsi="Cambria Math" w:cs="Times New Roman"/>
            <w:sz w:val="28"/>
            <w:szCs w:val="28"/>
          </w:rPr>
          <m:rPr/>
          <m:t> </m:t>
        </m:r>
      </m:oMath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68"/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установленного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 Письменное требование о возврате 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Министерством, органами государственного финансового контроля,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посредством почтового отправления, электронной связи, нарочно или иным способом, обеспечивающим подтверждение получения указанного требования.</w:t>
      </w:r>
      <w:r/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32. При невозврате средств субсидии в сроки, установленные частью 29 настоящего Порядка,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дня, когда 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нистерству стало известно о неисполнении получателем субсидии обязанности возвратить средства субсидии в краевой бюджет.</w:t>
      </w:r>
      <w:r/>
    </w:p>
    <w:p>
      <w:pPr>
        <w:pStyle w:val="92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33. В случае выявления нарушений, в том числе по фактам проверок, проведенных Министерством,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 в сроки, не превышающие сроки, указанные в части 29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денежных средств на его счет.</w:t>
      </w:r>
      <w:r/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34. В случае невозврата лицами, указанными в части 33 настоящего Порядка, средств субсидии на счет получателя субсидии в сроки, указанные в требовании о возврате средств субсидии получатель субсидии, принимает необходимые меры по взысканию подлежащих возвра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ту в краевой бюджет средств субсидии в судебном порядке в срок не позднее 30 рабочих дней со дня, когда получателю субсидии стало известно о неисполнении лицами, указанными в части 33 настоящего Порядка, обязанности возвратить средства, полученные за счет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субсидии, на счет получателя субсидии.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 xml:space="preserve">Остаток субсидии, неиспользованный в году предоставления субсидии, может быть использован получателем субсидии в очередном финансовом году на цель, указанную в части 1 настоящего Порядка, при принятии Министерством в порядке, определенном Правительством Кам</w:t>
      </w:r>
      <w:r>
        <w:rPr>
          <w:rFonts w:ascii="Times New Roman" w:hAnsi="Times New Roman" w:cs="Times New Roman"/>
          <w:sz w:val="28"/>
          <w:szCs w:val="28"/>
        </w:rPr>
        <w:t xml:space="preserve">чатского края, решения о наличии потребности в указанных средствах и включении соответствующих положений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1" w:bottom="1134" w:left="1418" w:header="680" w:footer="79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NewRomanPSMT">
    <w:panose1 w:val="02020603050405020304"/>
  </w:font>
  <w:font w:name="Segoe UI">
    <w:panose1 w:val="020B0502040204020203"/>
  </w:font>
  <w:font w:name="Calibri">
    <w:panose1 w:val="020F0502020204030204"/>
  </w:font>
  <w:font w:name="Liberation Sans">
    <w:panose1 w:val="020B0604020202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9498943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</w:instrText>
        </w:r>
        <w:r>
          <w:rPr>
            <w:rFonts w:ascii="Times New Roman" w:hAnsi="Times New Roman"/>
            <w:sz w:val="28"/>
            <w:szCs w:val="28"/>
          </w:rPr>
          <w:instrText xml:space="preserve">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7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8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Quote Char"/>
    <w:link w:val="727"/>
    <w:uiPriority w:val="29"/>
    <w:rPr>
      <w:i/>
    </w:rPr>
  </w:style>
  <w:style w:type="character" w:styleId="698">
    <w:name w:val="Intense Quote Char"/>
    <w:link w:val="729"/>
    <w:uiPriority w:val="30"/>
    <w:rPr>
      <w:i/>
    </w:rPr>
  </w:style>
  <w:style w:type="character" w:styleId="699">
    <w:name w:val="Caption Char"/>
    <w:basedOn w:val="712"/>
    <w:link w:val="733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0"/>
    <w:uiPriority w:val="99"/>
    <w:rPr>
      <w:sz w:val="18"/>
    </w:rPr>
  </w:style>
  <w:style w:type="character" w:styleId="701">
    <w:name w:val="Endnote Text Char"/>
    <w:link w:val="863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next w:val="702"/>
    <w:link w:val="88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04">
    <w:name w:val="Heading 2"/>
    <w:next w:val="702"/>
    <w:link w:val="91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05">
    <w:name w:val="Heading 3"/>
    <w:next w:val="702"/>
    <w:link w:val="87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06">
    <w:name w:val="Heading 4"/>
    <w:next w:val="702"/>
    <w:link w:val="91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07">
    <w:name w:val="Heading 5"/>
    <w:next w:val="702"/>
    <w:link w:val="88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Liberation Sans" w:hAnsi="Liberation Sans" w:eastAsia="Liberation Sans" w:cs="Liberation Sans"/>
      <w:sz w:val="34"/>
    </w:rPr>
  </w:style>
  <w:style w:type="character" w:styleId="717" w:customStyle="1">
    <w:name w:val="Heading 3 Char"/>
    <w:basedOn w:val="71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No Spacing"/>
    <w:uiPriority w:val="1"/>
    <w:qFormat/>
    <w:pPr>
      <w:spacing w:after="0" w:line="240" w:lineRule="auto"/>
    </w:pPr>
  </w:style>
  <w:style w:type="character" w:styleId="725" w:customStyle="1">
    <w:name w:val="Title Char"/>
    <w:basedOn w:val="712"/>
    <w:uiPriority w:val="10"/>
    <w:rPr>
      <w:sz w:val="48"/>
      <w:szCs w:val="48"/>
    </w:rPr>
  </w:style>
  <w:style w:type="character" w:styleId="726" w:customStyle="1">
    <w:name w:val="Subtitle Char"/>
    <w:basedOn w:val="712"/>
    <w:uiPriority w:val="11"/>
    <w:rPr>
      <w:sz w:val="24"/>
      <w:szCs w:val="24"/>
    </w:rPr>
  </w:style>
  <w:style w:type="paragraph" w:styleId="727">
    <w:name w:val="Quote"/>
    <w:basedOn w:val="702"/>
    <w:next w:val="702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2"/>
    <w:next w:val="702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12"/>
    <w:uiPriority w:val="99"/>
  </w:style>
  <w:style w:type="character" w:styleId="732" w:customStyle="1">
    <w:name w:val="Footer Char"/>
    <w:basedOn w:val="712"/>
    <w:uiPriority w:val="99"/>
  </w:style>
  <w:style w:type="paragraph" w:styleId="733">
    <w:name w:val="Caption"/>
    <w:basedOn w:val="702"/>
    <w:next w:val="702"/>
    <w:link w:val="7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4" w:customStyle="1">
    <w:name w:val="Название объекта Знак"/>
    <w:basedOn w:val="712"/>
    <w:link w:val="733"/>
    <w:uiPriority w:val="35"/>
    <w:rPr>
      <w:b/>
      <w:bCs/>
      <w:color w:val="5b9bd5" w:themeColor="accent1"/>
      <w:sz w:val="18"/>
      <w:szCs w:val="18"/>
    </w:rPr>
  </w:style>
  <w:style w:type="table" w:styleId="735" w:customStyle="1">
    <w:name w:val="Table Grid Light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>
    <w:name w:val="Plain Table 1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2"/>
    <w:basedOn w:val="71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4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5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6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7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8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9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6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8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9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0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1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3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7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8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9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0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1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2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ned - Accent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1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2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3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4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5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6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8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9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0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1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2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3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5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6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7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8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9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0">
    <w:name w:val="footnote text"/>
    <w:basedOn w:val="702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12"/>
    <w:uiPriority w:val="99"/>
    <w:unhideWhenUsed/>
    <w:rPr>
      <w:vertAlign w:val="superscript"/>
    </w:rPr>
  </w:style>
  <w:style w:type="paragraph" w:styleId="863">
    <w:name w:val="endnote text"/>
    <w:basedOn w:val="702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12"/>
    <w:uiPriority w:val="99"/>
    <w:semiHidden/>
    <w:unhideWhenUsed/>
    <w:rPr>
      <w:vertAlign w:val="superscript"/>
    </w:rPr>
  </w:style>
  <w:style w:type="paragraph" w:styleId="866">
    <w:name w:val="TOC Heading"/>
    <w:uiPriority w:val="39"/>
    <w:unhideWhenUsed/>
  </w:style>
  <w:style w:type="paragraph" w:styleId="867">
    <w:name w:val="table of figures"/>
    <w:basedOn w:val="702"/>
    <w:next w:val="702"/>
    <w:uiPriority w:val="99"/>
    <w:unhideWhenUsed/>
    <w:pPr>
      <w:spacing w:after="0"/>
    </w:pPr>
  </w:style>
  <w:style w:type="character" w:styleId="868" w:customStyle="1">
    <w:name w:val="Обычный1"/>
  </w:style>
  <w:style w:type="paragraph" w:styleId="869">
    <w:name w:val="toc 2"/>
    <w:next w:val="702"/>
    <w:link w:val="870"/>
    <w:uiPriority w:val="39"/>
    <w:pPr>
      <w:ind w:left="200"/>
    </w:pPr>
    <w:rPr>
      <w:rFonts w:ascii="XO Thames" w:hAnsi="XO Thames"/>
      <w:sz w:val="28"/>
    </w:rPr>
  </w:style>
  <w:style w:type="character" w:styleId="870" w:customStyle="1">
    <w:name w:val="Оглавление 2 Знак"/>
    <w:link w:val="869"/>
    <w:rPr>
      <w:rFonts w:ascii="XO Thames" w:hAnsi="XO Thames"/>
      <w:sz w:val="28"/>
    </w:rPr>
  </w:style>
  <w:style w:type="paragraph" w:styleId="871">
    <w:name w:val="toc 4"/>
    <w:next w:val="702"/>
    <w:link w:val="872"/>
    <w:uiPriority w:val="39"/>
    <w:pPr>
      <w:ind w:left="600"/>
    </w:pPr>
    <w:rPr>
      <w:rFonts w:ascii="XO Thames" w:hAnsi="XO Thames"/>
      <w:sz w:val="28"/>
    </w:rPr>
  </w:style>
  <w:style w:type="character" w:styleId="872" w:customStyle="1">
    <w:name w:val="Оглавление 4 Знак"/>
    <w:link w:val="871"/>
    <w:rPr>
      <w:rFonts w:ascii="XO Thames" w:hAnsi="XO Thames"/>
      <w:sz w:val="28"/>
    </w:rPr>
  </w:style>
  <w:style w:type="paragraph" w:styleId="873">
    <w:name w:val="toc 6"/>
    <w:next w:val="702"/>
    <w:link w:val="874"/>
    <w:uiPriority w:val="39"/>
    <w:pPr>
      <w:ind w:left="1000"/>
    </w:pPr>
    <w:rPr>
      <w:rFonts w:ascii="XO Thames" w:hAnsi="XO Thames"/>
      <w:sz w:val="28"/>
    </w:rPr>
  </w:style>
  <w:style w:type="character" w:styleId="874" w:customStyle="1">
    <w:name w:val="Оглавление 6 Знак"/>
    <w:link w:val="873"/>
    <w:rPr>
      <w:rFonts w:ascii="XO Thames" w:hAnsi="XO Thames"/>
      <w:sz w:val="28"/>
    </w:rPr>
  </w:style>
  <w:style w:type="paragraph" w:styleId="875">
    <w:name w:val="toc 7"/>
    <w:next w:val="702"/>
    <w:link w:val="876"/>
    <w:uiPriority w:val="39"/>
    <w:pPr>
      <w:ind w:left="1200"/>
    </w:pPr>
    <w:rPr>
      <w:rFonts w:ascii="XO Thames" w:hAnsi="XO Thames"/>
      <w:sz w:val="28"/>
    </w:rPr>
  </w:style>
  <w:style w:type="character" w:styleId="876" w:customStyle="1">
    <w:name w:val="Оглавление 7 Знак"/>
    <w:link w:val="875"/>
    <w:rPr>
      <w:rFonts w:ascii="XO Thames" w:hAnsi="XO Thames"/>
      <w:sz w:val="28"/>
    </w:rPr>
  </w:style>
  <w:style w:type="character" w:styleId="877" w:customStyle="1">
    <w:name w:val="Заголовок 3 Знак"/>
    <w:link w:val="705"/>
    <w:rPr>
      <w:rFonts w:ascii="XO Thames" w:hAnsi="XO Thames"/>
      <w:b/>
      <w:sz w:val="26"/>
    </w:rPr>
  </w:style>
  <w:style w:type="paragraph" w:styleId="878">
    <w:name w:val="Plain Text"/>
    <w:basedOn w:val="702"/>
    <w:link w:val="879"/>
    <w:pPr>
      <w:spacing w:after="0" w:line="240" w:lineRule="auto"/>
    </w:pPr>
    <w:rPr>
      <w:rFonts w:ascii="Calibri" w:hAnsi="Calibri"/>
    </w:rPr>
  </w:style>
  <w:style w:type="character" w:styleId="879" w:customStyle="1">
    <w:name w:val="Текст Знак"/>
    <w:basedOn w:val="868"/>
    <w:link w:val="878"/>
    <w:rPr>
      <w:rFonts w:ascii="Calibri" w:hAnsi="Calibri"/>
    </w:rPr>
  </w:style>
  <w:style w:type="paragraph" w:styleId="880" w:customStyle="1">
    <w:name w:val="Гиперссылка1"/>
    <w:basedOn w:val="904"/>
    <w:link w:val="881"/>
    <w:rPr>
      <w:color w:val="0563c1" w:themeColor="hyperlink"/>
      <w:u w:val="single"/>
    </w:rPr>
  </w:style>
  <w:style w:type="character" w:styleId="881" w:customStyle="1">
    <w:name w:val="Гиперссылка1"/>
    <w:basedOn w:val="905"/>
    <w:link w:val="880"/>
    <w:rPr>
      <w:color w:val="0563c1" w:themeColor="hyperlink"/>
      <w:u w:val="single"/>
    </w:rPr>
  </w:style>
  <w:style w:type="paragraph" w:styleId="882">
    <w:name w:val="Header"/>
    <w:basedOn w:val="702"/>
    <w:link w:val="883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68"/>
    <w:link w:val="882"/>
    <w:uiPriority w:val="99"/>
  </w:style>
  <w:style w:type="paragraph" w:styleId="884">
    <w:name w:val="toc 3"/>
    <w:next w:val="702"/>
    <w:link w:val="885"/>
    <w:uiPriority w:val="39"/>
    <w:pPr>
      <w:ind w:left="400"/>
    </w:pPr>
    <w:rPr>
      <w:rFonts w:ascii="XO Thames" w:hAnsi="XO Thames"/>
      <w:sz w:val="28"/>
    </w:rPr>
  </w:style>
  <w:style w:type="character" w:styleId="885" w:customStyle="1">
    <w:name w:val="Оглавление 3 Знак"/>
    <w:link w:val="884"/>
    <w:rPr>
      <w:rFonts w:ascii="XO Thames" w:hAnsi="XO Thames"/>
      <w:sz w:val="28"/>
    </w:rPr>
  </w:style>
  <w:style w:type="character" w:styleId="886" w:customStyle="1">
    <w:name w:val="Заголовок 5 Знак"/>
    <w:link w:val="707"/>
    <w:rPr>
      <w:rFonts w:ascii="XO Thames" w:hAnsi="XO Thames"/>
      <w:b/>
    </w:rPr>
  </w:style>
  <w:style w:type="character" w:styleId="887" w:customStyle="1">
    <w:name w:val="Заголовок 1 Знак"/>
    <w:link w:val="703"/>
    <w:rPr>
      <w:rFonts w:ascii="XO Thames" w:hAnsi="XO Thames"/>
      <w:b/>
      <w:sz w:val="32"/>
    </w:rPr>
  </w:style>
  <w:style w:type="paragraph" w:styleId="888" w:customStyle="1">
    <w:name w:val="Гиперссылка2"/>
    <w:link w:val="889"/>
    <w:rPr>
      <w:color w:val="0000ff"/>
      <w:u w:val="single"/>
    </w:rPr>
  </w:style>
  <w:style w:type="character" w:styleId="889">
    <w:name w:val="Hyperlink"/>
    <w:link w:val="888"/>
    <w:rPr>
      <w:color w:val="0000ff"/>
      <w:u w:val="single"/>
    </w:rPr>
  </w:style>
  <w:style w:type="paragraph" w:styleId="890" w:customStyle="1">
    <w:name w:val="Footnote"/>
    <w:link w:val="891"/>
    <w:pPr>
      <w:ind w:firstLine="851"/>
      <w:jc w:val="both"/>
    </w:pPr>
    <w:rPr>
      <w:rFonts w:ascii="XO Thames" w:hAnsi="XO Thames"/>
    </w:rPr>
  </w:style>
  <w:style w:type="character" w:styleId="891" w:customStyle="1">
    <w:name w:val="Footnote"/>
    <w:link w:val="890"/>
    <w:rPr>
      <w:rFonts w:ascii="XO Thames" w:hAnsi="XO Thames"/>
    </w:rPr>
  </w:style>
  <w:style w:type="paragraph" w:styleId="892">
    <w:name w:val="toc 1"/>
    <w:next w:val="702"/>
    <w:link w:val="893"/>
    <w:uiPriority w:val="39"/>
    <w:rPr>
      <w:rFonts w:ascii="XO Thames" w:hAnsi="XO Thames"/>
      <w:b/>
      <w:sz w:val="28"/>
    </w:rPr>
  </w:style>
  <w:style w:type="character" w:styleId="893" w:customStyle="1">
    <w:name w:val="Оглавление 1 Знак"/>
    <w:link w:val="892"/>
    <w:rPr>
      <w:rFonts w:ascii="XO Thames" w:hAnsi="XO Thames"/>
      <w:b/>
      <w:sz w:val="28"/>
    </w:rPr>
  </w:style>
  <w:style w:type="paragraph" w:styleId="894" w:customStyle="1">
    <w:name w:val="Header and Footer"/>
    <w:link w:val="895"/>
    <w:pPr>
      <w:jc w:val="both"/>
      <w:spacing w:line="240" w:lineRule="auto"/>
    </w:pPr>
    <w:rPr>
      <w:rFonts w:ascii="XO Thames" w:hAnsi="XO Thames"/>
      <w:sz w:val="20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toc 9"/>
    <w:next w:val="702"/>
    <w:link w:val="897"/>
    <w:uiPriority w:val="39"/>
    <w:pPr>
      <w:ind w:left="1600"/>
    </w:pPr>
    <w:rPr>
      <w:rFonts w:ascii="XO Thames" w:hAnsi="XO Thames"/>
      <w:sz w:val="28"/>
    </w:rPr>
  </w:style>
  <w:style w:type="character" w:styleId="897" w:customStyle="1">
    <w:name w:val="Оглавление 9 Знак"/>
    <w:link w:val="896"/>
    <w:rPr>
      <w:rFonts w:ascii="XO Thames" w:hAnsi="XO Thames"/>
      <w:sz w:val="28"/>
    </w:rPr>
  </w:style>
  <w:style w:type="paragraph" w:styleId="898">
    <w:name w:val="toc 8"/>
    <w:next w:val="702"/>
    <w:link w:val="899"/>
    <w:uiPriority w:val="39"/>
    <w:pPr>
      <w:ind w:left="1400"/>
    </w:pPr>
    <w:rPr>
      <w:rFonts w:ascii="XO Thames" w:hAnsi="XO Thames"/>
      <w:sz w:val="28"/>
    </w:rPr>
  </w:style>
  <w:style w:type="character" w:styleId="899" w:customStyle="1">
    <w:name w:val="Оглавление 8 Знак"/>
    <w:link w:val="898"/>
    <w:rPr>
      <w:rFonts w:ascii="XO Thames" w:hAnsi="XO Thames"/>
      <w:sz w:val="28"/>
    </w:rPr>
  </w:style>
  <w:style w:type="paragraph" w:styleId="900">
    <w:name w:val="toc 5"/>
    <w:next w:val="702"/>
    <w:link w:val="901"/>
    <w:uiPriority w:val="39"/>
    <w:pPr>
      <w:ind w:left="800"/>
    </w:pPr>
    <w:rPr>
      <w:rFonts w:ascii="XO Thames" w:hAnsi="XO Thames"/>
      <w:sz w:val="28"/>
    </w:rPr>
  </w:style>
  <w:style w:type="character" w:styleId="901" w:customStyle="1">
    <w:name w:val="Оглавление 5 Знак"/>
    <w:link w:val="900"/>
    <w:rPr>
      <w:rFonts w:ascii="XO Thames" w:hAnsi="XO Thames"/>
      <w:sz w:val="28"/>
    </w:rPr>
  </w:style>
  <w:style w:type="paragraph" w:styleId="902" w:customStyle="1">
    <w:name w:val="Обычный1"/>
    <w:link w:val="903"/>
  </w:style>
  <w:style w:type="character" w:styleId="903" w:customStyle="1">
    <w:name w:val="Обычный1"/>
    <w:link w:val="902"/>
  </w:style>
  <w:style w:type="paragraph" w:styleId="904" w:customStyle="1">
    <w:name w:val="Основной шрифт абзаца1"/>
    <w:link w:val="905"/>
  </w:style>
  <w:style w:type="character" w:styleId="905" w:customStyle="1">
    <w:name w:val="Основной шрифт абзаца1"/>
    <w:link w:val="904"/>
  </w:style>
  <w:style w:type="paragraph" w:styleId="906">
    <w:name w:val="Subtitle"/>
    <w:next w:val="702"/>
    <w:link w:val="90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7" w:customStyle="1">
    <w:name w:val="Подзаголовок Знак"/>
    <w:link w:val="906"/>
    <w:rPr>
      <w:rFonts w:ascii="XO Thames" w:hAnsi="XO Thames"/>
      <w:i/>
      <w:sz w:val="24"/>
    </w:rPr>
  </w:style>
  <w:style w:type="paragraph" w:styleId="908" w:customStyle="1">
    <w:name w:val="Основной шрифт абзаца2"/>
  </w:style>
  <w:style w:type="paragraph" w:styleId="909">
    <w:name w:val="Title"/>
    <w:next w:val="702"/>
    <w:link w:val="91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10" w:customStyle="1">
    <w:name w:val="Заголовок Знак"/>
    <w:link w:val="909"/>
    <w:rPr>
      <w:rFonts w:ascii="XO Thames" w:hAnsi="XO Thames"/>
      <w:b/>
      <w:caps/>
      <w:sz w:val="40"/>
    </w:rPr>
  </w:style>
  <w:style w:type="character" w:styleId="911" w:customStyle="1">
    <w:name w:val="Заголовок 4 Знак"/>
    <w:link w:val="706"/>
    <w:rPr>
      <w:rFonts w:ascii="XO Thames" w:hAnsi="XO Thames"/>
      <w:b/>
      <w:sz w:val="24"/>
    </w:rPr>
  </w:style>
  <w:style w:type="paragraph" w:styleId="912">
    <w:name w:val="Footer"/>
    <w:basedOn w:val="702"/>
    <w:link w:val="91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13" w:customStyle="1">
    <w:name w:val="Нижний колонтитул Знак"/>
    <w:basedOn w:val="868"/>
    <w:link w:val="912"/>
    <w:rPr>
      <w:rFonts w:ascii="Times New Roman" w:hAnsi="Times New Roman"/>
      <w:sz w:val="28"/>
    </w:rPr>
  </w:style>
  <w:style w:type="character" w:styleId="914" w:customStyle="1">
    <w:name w:val="Заголовок 2 Знак"/>
    <w:link w:val="704"/>
    <w:rPr>
      <w:rFonts w:ascii="XO Thames" w:hAnsi="XO Thames"/>
      <w:b/>
      <w:sz w:val="28"/>
    </w:rPr>
  </w:style>
  <w:style w:type="paragraph" w:styleId="915">
    <w:name w:val="Balloon Text"/>
    <w:basedOn w:val="702"/>
    <w:link w:val="916"/>
    <w:pPr>
      <w:spacing w:after="0" w:line="240" w:lineRule="auto"/>
    </w:pPr>
    <w:rPr>
      <w:rFonts w:ascii="Segoe UI" w:hAnsi="Segoe UI"/>
      <w:sz w:val="18"/>
    </w:rPr>
  </w:style>
  <w:style w:type="character" w:styleId="916" w:customStyle="1">
    <w:name w:val="Текст выноски Знак"/>
    <w:basedOn w:val="868"/>
    <w:link w:val="915"/>
    <w:rPr>
      <w:rFonts w:ascii="Segoe UI" w:hAnsi="Segoe UI"/>
      <w:sz w:val="18"/>
    </w:rPr>
  </w:style>
  <w:style w:type="table" w:styleId="917" w:customStyle="1">
    <w:name w:val="Сетка таблицы1"/>
    <w:basedOn w:val="71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8" w:customStyle="1">
    <w:name w:val="Сетка таблицы2"/>
    <w:basedOn w:val="71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>
    <w:name w:val="Table Grid"/>
    <w:basedOn w:val="71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color w:val="auto"/>
      <w:szCs w:val="22"/>
    </w:rPr>
  </w:style>
  <w:style w:type="paragraph" w:styleId="921">
    <w:name w:val="List Paragraph"/>
    <w:basedOn w:val="702"/>
    <w:uiPriority w:val="34"/>
    <w:qFormat/>
    <w:pPr>
      <w:contextualSpacing/>
      <w:ind w:left="720"/>
    </w:pPr>
  </w:style>
  <w:style w:type="paragraph" w:styleId="92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color w:val="auto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296&amp;n=214600&amp;dst=100031" TargetMode="External"/><Relationship Id="rId13" Type="http://schemas.openxmlformats.org/officeDocument/2006/relationships/hyperlink" Target="https://login.consultant.ru/link/?req=doc&amp;base=RLAW296&amp;n=214600&amp;dst=100041" TargetMode="External"/><Relationship Id="rId14" Type="http://schemas.openxmlformats.org/officeDocument/2006/relationships/hyperlink" Target="https://login.consultant.ru/link/?req=doc&amp;base=RLAW296&amp;n=214600&amp;dst=100031" TargetMode="External"/><Relationship Id="rId15" Type="http://schemas.openxmlformats.org/officeDocument/2006/relationships/hyperlink" Target="https://login.consultant.ru/link/?req=doc&amp;base=LAW&amp;n=466790&amp;dst=3704" TargetMode="External"/><Relationship Id="rId16" Type="http://schemas.openxmlformats.org/officeDocument/2006/relationships/hyperlink" Target="https://login.consultant.ru/link/?req=doc&amp;base=LAW&amp;n=466790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4077-AA79-4E89-8ABF-1921E8A2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KryneckayaSV</cp:lastModifiedBy>
  <cp:revision>5</cp:revision>
  <dcterms:created xsi:type="dcterms:W3CDTF">2026-03-30T05:15:00Z</dcterms:created>
  <dcterms:modified xsi:type="dcterms:W3CDTF">2026-04-27T01:19:38Z</dcterms:modified>
</cp:coreProperties>
</file>