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МИНИСТЕРСТВО СПОРТА КАМЧАТСКОГО КРАЯ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142" w:left="142"/>
              <w:rPr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tbl>
      <w:tblPr>
        <w:tblStyle w:val="aff5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0"/>
              <w:jc w:val="center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О внесении изменений в приложение к приказу Министерства спорта Камчатского края от 08.02.2023 № 4-Н «Об утверждении норм расходов средств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Камчатского края»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целях уточнения отдельных разделов приложения к приказу Министерства спорта Камчатского края от 08.02.2023 № 4-Н «Об утверждении норм расходов средств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Камчатского края» </w:t>
      </w:r>
    </w:p>
    <w:p>
      <w:pPr>
        <w:pStyle w:val="Normal"/>
        <w:spacing w:lineRule="auto" w:line="240" w:before="0" w:after="0"/>
        <w:ind w:firstLine="567" w:left="142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567" w:left="142"/>
        <w:jc w:val="both"/>
        <w:rPr/>
      </w:pPr>
      <w:r>
        <w:rPr>
          <w:rFonts w:ascii="Times New Roman" w:hAnsi="Times New Roman"/>
          <w:sz w:val="28"/>
          <w:szCs w:val="28"/>
        </w:rPr>
        <w:t>ПРИКАЗЫВАЮ:</w:t>
      </w:r>
    </w:p>
    <w:p>
      <w:pPr>
        <w:pStyle w:val="Normal"/>
        <w:spacing w:lineRule="auto" w:line="240" w:before="0" w:after="0"/>
        <w:ind w:firstLine="567" w:left="142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567" w:left="142"/>
        <w:jc w:val="both"/>
        <w:rPr/>
      </w:pPr>
      <w:r>
        <w:rPr>
          <w:rFonts w:ascii="Times New Roman" w:hAnsi="Times New Roman"/>
          <w:sz w:val="28"/>
          <w:szCs w:val="28"/>
        </w:rPr>
        <w:t>1. Внести в приложение к приказу Министерства спорта Камчатского края от 08.02.2023 № 4-Н «Об утверждении норм расходов средств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Камчатского края» изменения, изложив в следующей редакции:</w:t>
      </w:r>
    </w:p>
    <w:p>
      <w:pPr>
        <w:pStyle w:val="Normal"/>
        <w:spacing w:lineRule="auto" w:line="240" w:before="0" w:after="0"/>
        <w:ind w:firstLine="567"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строки 4, 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таблицы 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 2 «Питание участников физкультурных мероприятий и спортивных мероприятий Календарного плана, включая тренеров, представителей спортивных команд, спортивных судей, волонтеров и лиц, сопровождающих многодневные спортивные мероприятия и физкультурные мероприятия по ездовому спорту»:</w:t>
      </w:r>
    </w:p>
    <w:p>
      <w:pPr>
        <w:pStyle w:val="Normal"/>
        <w:spacing w:lineRule="auto" w:line="240" w:before="0" w:after="0"/>
        <w:ind w:firstLine="567" w:left="142"/>
        <w:jc w:val="both"/>
        <w:rPr/>
      </w:pPr>
      <w:r>
        <w:rPr/>
      </w:r>
    </w:p>
    <w:tbl>
      <w:tblPr>
        <w:tblW w:w="10201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270"/>
        <w:gridCol w:w="806"/>
        <w:gridCol w:w="5432"/>
        <w:gridCol w:w="2985"/>
        <w:gridCol w:w="708"/>
      </w:tblGrid>
      <w:tr>
        <w:trPr/>
        <w:tc>
          <w:tcPr>
            <w:tcW w:w="270" w:type="dxa"/>
            <w:tcBorders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  <w:t>«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  <w:t xml:space="preserve">№ </w:t>
            </w:r>
            <w:r>
              <w:rPr/>
              <w:t>п</w:t>
            </w:r>
            <w:r>
              <w:rPr>
                <w:lang w:val="en-US"/>
              </w:rPr>
              <w:t>/</w:t>
            </w:r>
            <w:r>
              <w:rPr/>
              <w:t>п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  <w:t>Категория мероприятий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на одного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человека в сутки (руб.)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0" w:type="dxa"/>
            <w:tcBorders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Times New Roman CYR" w:ascii="Times New Roman CYR" w:hAnsi="Times New Roman CYR"/>
              </w:rPr>
              <w:t>1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Times New Roman CYR" w:ascii="Times New Roman CYR" w:hAnsi="Times New Roman CYR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Times New Roman CYR" w:ascii="Times New Roman CYR" w:hAnsi="Times New Roman CYR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</w:r>
          </w:p>
        </w:tc>
      </w:tr>
      <w:tr>
        <w:trPr/>
        <w:tc>
          <w:tcPr>
            <w:tcW w:w="270" w:type="dxa"/>
            <w:tcBorders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Times New Roman CYR" w:ascii="Times New Roman CYR" w:hAnsi="Times New Roman CYR"/>
              </w:rPr>
              <w:t>4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Учебно-тренировочные мероприятия, проводимые на базе структурных подразделений краевых государственных учреждений, подведомственных Министерству спорта Камчатского края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Times New Roman CYR" w:ascii="Times New Roman CYR" w:hAnsi="Times New Roman CYR"/>
              </w:rPr>
              <w:t>до 1500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</w:r>
          </w:p>
        </w:tc>
      </w:tr>
      <w:tr>
        <w:trPr/>
        <w:tc>
          <w:tcPr>
            <w:tcW w:w="270" w:type="dxa"/>
            <w:tcBorders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5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system-ui;apple-system;BlinkMacSystemFont;Segoe UI;Roboto;Ubuntu;Helvetica Neue;Arial;sans-serif;Apple Color Emoji;Segoe UI Emoji;Segoe UI Symbol" w:hAnsi="system-ui;apple-system;BlinkMacSystemFont;Segoe UI;Roboto;Ubuntu;Helvetica Neue;Arial;sans-serif;Apple Color Emoji;Segoe UI Emoji;Segoe UI Symbol"/>
                <w:b w:val="false"/>
                <w:i w:val="false"/>
                <w:caps w:val="false"/>
                <w:smallCaps w:val="false"/>
                <w:color w:val="000000"/>
                <w:spacing w:val="0"/>
                <w:sz w:val="23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Официальные физкультурные мероприятия и спортивные мероприятия Календарного плана, проводимые в труднодоступных местностях, не обладающих развитой социально-бытовой инфраструктурой и характеризующихся сложной транспортной логистикой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до 5 400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Times New Roman CYR" w:hAnsi="Times New Roman CYR" w:cs="Times New Roman CYR"/>
              </w:rPr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Times New Roman CYR" w:ascii="Times New Roman CYR" w:hAnsi="Times New Roman CYR"/>
              </w:rPr>
              <w:t>»;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ind w:firstLine="567" w:left="14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второй абзац после таблицы 5 раздела 5 «</w:t>
      </w:r>
      <w:r>
        <w:rPr>
          <w:rFonts w:ascii="Times New Roman" w:hAnsi="Times New Roman"/>
          <w:color w:val="auto"/>
          <w:sz w:val="28"/>
          <w:szCs w:val="28"/>
        </w:rPr>
        <w:t>Услуги по обеспечению наградной атрибутикой победителей и призеров физкультурных мероприятий и спортивных мероприятий Календарного плана»:</w:t>
      </w:r>
    </w:p>
    <w:p>
      <w:pPr>
        <w:pStyle w:val="Normal"/>
        <w:spacing w:lineRule="auto" w:line="240" w:before="0" w:after="0"/>
        <w:ind w:firstLine="567" w:left="142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567"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«Победители и призёры в личных видах программы вручается памятный приз или кубок, медаль и диплом.»;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3) строку 9 таблицы 7 раздела 7 «Услуги по обеспечению транспортными средствами участников физкультурных мероприятий и спортивных мероприятий Календарного плана»: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tbl>
      <w:tblPr>
        <w:tblW w:w="10065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00" w:noHBand="0" w:noVBand="0" w:firstColumn="0" w:lastRow="0" w:lastColumn="0" w:firstRow="0"/>
      </w:tblPr>
      <w:tblGrid>
        <w:gridCol w:w="329"/>
        <w:gridCol w:w="664"/>
        <w:gridCol w:w="6376"/>
        <w:gridCol w:w="1987"/>
        <w:gridCol w:w="709"/>
      </w:tblGrid>
      <w:tr>
        <w:trPr/>
        <w:tc>
          <w:tcPr>
            <w:tcW w:w="3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 в час (руб.)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на гусеничном ходу, предназначенная для перевозки людей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32 500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 CYR" w:ascii="Times New Roman CYR" w:hAnsi="Times New Roman CYR"/>
                <w:sz w:val="24"/>
                <w:szCs w:val="24"/>
              </w:rPr>
              <w:t>».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приказа возложить на начальника отдела развития видов спорта и высшего спортивного мастерства Министерства спорта Камчатского края.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 Настоящий приказ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tbl>
      <w:tblPr>
        <w:tblW w:w="10035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723"/>
        <w:gridCol w:w="4397"/>
        <w:gridCol w:w="2915"/>
      </w:tblGrid>
      <w:tr>
        <w:trPr>
          <w:trHeight w:val="2220" w:hRule="atLeast"/>
        </w:trPr>
        <w:tc>
          <w:tcPr>
            <w:tcW w:w="27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0" w:right="27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30"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3"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8"/>
                <w:szCs w:val="28"/>
              </w:rPr>
              <w:t>[горизонтальный штамп подписи 1]</w:t>
            </w:r>
            <w:bookmarkEnd w:id="1"/>
          </w:p>
          <w:p>
            <w:pPr>
              <w:pStyle w:val="Normal"/>
              <w:widowControl w:val="false"/>
              <w:spacing w:lineRule="auto" w:line="240" w:before="0" w:after="0"/>
              <w:ind w:hanging="142"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Бондаренко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imes New Roman CYR">
    <w:charset w:val="01"/>
    <w:family w:val="roman"/>
    <w:pitch w:val="variable"/>
  </w:font>
  <w:font w:name="system-ui">
    <w:altName w:val="apple-system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3"/>
    <w:qFormat/>
    <w:pPr>
      <w:widowControl/>
      <w:suppressAutoHyphens w:val="fals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4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1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12" w:customStyle="1">
    <w:name w:val="Нижний колонтитул Знак1"/>
    <w:basedOn w:val="DefaultParagraphFont"/>
    <w:uiPriority w:val="99"/>
    <w:qFormat/>
    <w:rPr/>
  </w:style>
  <w:style w:type="character" w:styleId="Style7" w:customStyle="1">
    <w:name w:val="Название объекта Знак"/>
    <w:basedOn w:val="DefaultParagraphFont"/>
    <w:link w:val="Caption1"/>
    <w:uiPriority w:val="35"/>
    <w:qFormat/>
    <w:rPr>
      <w:b/>
      <w:bCs/>
      <w:color w:themeColor="accent1" w:val="5B9BD5"/>
      <w:sz w:val="18"/>
      <w:szCs w:val="18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3" w:customStyle="1">
    <w:name w:val="Обычный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1" w:customStyle="1">
    <w:name w:val="Оглавление 6 Знак"/>
    <w:qFormat/>
    <w:rPr>
      <w:rFonts w:ascii="XO Thames" w:hAnsi="XO Thames"/>
      <w:sz w:val="28"/>
    </w:rPr>
  </w:style>
  <w:style w:type="character" w:styleId="71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2" w:customStyle="1">
    <w:name w:val="Текст выноски Знак"/>
    <w:basedOn w:val="13"/>
    <w:link w:val="BalloonText"/>
    <w:qFormat/>
    <w:rPr>
      <w:rFonts w:ascii="Segoe UI" w:hAnsi="Segoe UI"/>
      <w:sz w:val="18"/>
    </w:rPr>
  </w:style>
  <w:style w:type="character" w:styleId="Style13" w:customStyle="1">
    <w:name w:val="Нижний колонтитул Знак"/>
    <w:basedOn w:val="13"/>
    <w:qFormat/>
    <w:rPr>
      <w:rFonts w:ascii="Times New Roman" w:hAnsi="Times New Roman"/>
      <w:sz w:val="28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4" w:customStyle="1">
    <w:name w:val="Верхний колонтитул Знак"/>
    <w:basedOn w:val="13"/>
    <w:qFormat/>
    <w:rPr/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4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8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5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1" w:customStyle="1">
    <w:name w:val="Оглавление 9 Знак"/>
    <w:qFormat/>
    <w:rPr>
      <w:rFonts w:ascii="XO Thames" w:hAnsi="XO Thames"/>
      <w:sz w:val="28"/>
    </w:rPr>
  </w:style>
  <w:style w:type="character" w:styleId="81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5" w:customStyle="1">
    <w:name w:val="Текст Знак"/>
    <w:basedOn w:val="13"/>
    <w:link w:val="PlainText"/>
    <w:qFormat/>
    <w:rPr>
      <w:rFonts w:ascii="Calibri" w:hAnsi="Calibri"/>
    </w:rPr>
  </w:style>
  <w:style w:type="character" w:styleId="Style16" w:customStyle="1">
    <w:name w:val="Подзаголовок Знак"/>
    <w:qFormat/>
    <w:rPr>
      <w:rFonts w:ascii="XO Thames" w:hAnsi="XO Thames"/>
      <w:i/>
      <w:sz w:val="24"/>
    </w:rPr>
  </w:style>
  <w:style w:type="character" w:styleId="Style17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16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1">
    <w:name w:val="caption1"/>
    <w:basedOn w:val="Normal"/>
    <w:link w:val="Style7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OC2">
    <w:name w:val="TOC 2"/>
    <w:next w:val="Normal"/>
    <w:link w:val="21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1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1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tyle20" w:customStyle="1">
    <w:name w:val="Колонтитул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17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8" w:customStyle="1">
    <w:name w:val="Гиперссылка1"/>
    <w:basedOn w:val="17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5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1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1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5"/>
    <w:qFormat/>
    <w:pPr>
      <w:spacing w:lineRule="auto" w:line="240" w:before="0" w:after="0"/>
    </w:pPr>
    <w:rPr>
      <w:rFonts w:ascii="Calibri" w:hAnsi="Calibri"/>
    </w:rPr>
  </w:style>
  <w:style w:type="paragraph" w:styleId="Subtitle">
    <w:name w:val="Subtitle"/>
    <w:next w:val="Normal"/>
    <w:link w:val="1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5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/>
      <w:sz w:val="24"/>
      <w:szCs w:val="24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5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6">
    <w:name w:val="Сетка таблицы2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b">
    <w:name w:val="Сетка таблицы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LibreOffice/7.6.7.2$Linux_X86_64 LibreOffice_project/60$Build-2</Application>
  <AppVersion>15.0000</AppVersion>
  <Pages>2</Pages>
  <Words>356</Words>
  <Characters>2518</Characters>
  <CharactersWithSpaces>2836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2023-07-19T05:14:00Z</dcterms:created>
  <dc:creator>Вихров Роман Сергеевич</dc:creator>
  <dc:description/>
  <dc:language>ru-RU</dc:language>
  <cp:lastModifiedBy/>
  <cp:lastPrinted>2026-04-06T10:48:30Z</cp:lastPrinted>
  <dcterms:modified xsi:type="dcterms:W3CDTF">2026-04-06T14:25:13Z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