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E">
        <w:rPr>
          <w:sz w:val="28"/>
          <w:szCs w:val="28"/>
        </w:rPr>
        <w:t xml:space="preserve"> </w:t>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220FFD">
              <w:rPr>
                <w:b/>
                <w:sz w:val="28"/>
                <w:szCs w:val="28"/>
              </w:rPr>
              <w:t>я</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11670B" w:rsidRPr="0011670B" w:rsidRDefault="00675AA1" w:rsidP="0011670B">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утвержденный постановлением Правительства Камчатск</w:t>
      </w:r>
      <w:r w:rsidR="001D1202" w:rsidRPr="00C92E9A">
        <w:rPr>
          <w:sz w:val="28"/>
          <w:szCs w:val="28"/>
        </w:rPr>
        <w:t xml:space="preserve">ого края </w:t>
      </w:r>
      <w:r w:rsidR="001D1202" w:rsidRPr="00C92E9A">
        <w:rPr>
          <w:sz w:val="28"/>
          <w:szCs w:val="28"/>
        </w:rPr>
        <w:br/>
        <w:t>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D45661" w:rsidRPr="00C92E9A">
        <w:rPr>
          <w:sz w:val="28"/>
          <w:szCs w:val="28"/>
        </w:rPr>
        <w:t xml:space="preserve">», </w:t>
      </w:r>
      <w:r w:rsidR="006429EE" w:rsidRPr="006429EE">
        <w:rPr>
          <w:sz w:val="28"/>
          <w:szCs w:val="28"/>
        </w:rPr>
        <w:t>изменения, дополнив кодами бюджетной классификации Российской Федерации следующего содержания</w:t>
      </w:r>
      <w:r w:rsidR="0011670B" w:rsidRPr="0011670B">
        <w:rPr>
          <w:sz w:val="28"/>
          <w:szCs w:val="28"/>
        </w:rPr>
        <w:t>:</w:t>
      </w:r>
    </w:p>
    <w:p w:rsidR="006429EE" w:rsidRPr="006429EE" w:rsidRDefault="006429EE" w:rsidP="0011670B">
      <w:pPr>
        <w:ind w:firstLine="709"/>
        <w:contextualSpacing/>
        <w:jc w:val="both"/>
        <w:rPr>
          <w:sz w:val="28"/>
          <w:szCs w:val="28"/>
        </w:rPr>
      </w:pPr>
      <w:r>
        <w:rPr>
          <w:sz w:val="28"/>
          <w:szCs w:val="28"/>
        </w:rPr>
        <w:t xml:space="preserve">1) </w:t>
      </w:r>
      <w:r w:rsidR="00AE69FA">
        <w:rPr>
          <w:sz w:val="28"/>
          <w:szCs w:val="28"/>
        </w:rPr>
        <w:t>«</w:t>
      </w:r>
      <w:r>
        <w:rPr>
          <w:sz w:val="28"/>
          <w:szCs w:val="28"/>
        </w:rPr>
        <w:t xml:space="preserve">809 </w:t>
      </w:r>
      <w:r w:rsidRPr="006429EE">
        <w:rPr>
          <w:sz w:val="28"/>
          <w:szCs w:val="28"/>
        </w:rPr>
        <w:t>1 12 06022 02 0000 120</w:t>
      </w:r>
      <w:r>
        <w:rPr>
          <w:sz w:val="28"/>
          <w:szCs w:val="28"/>
        </w:rPr>
        <w:t xml:space="preserve"> </w:t>
      </w:r>
      <w:r w:rsidRPr="006429EE">
        <w:rPr>
          <w:sz w:val="28"/>
          <w:szCs w:val="28"/>
        </w:rPr>
        <w:t xml:space="preserve">Плата за заключение в соответствии с частью 7 статьи 33.3 Федерального закона от 20 декабря 2004 года </w:t>
      </w:r>
      <w:r>
        <w:rPr>
          <w:sz w:val="28"/>
          <w:szCs w:val="28"/>
        </w:rPr>
        <w:t>№</w:t>
      </w:r>
      <w:r w:rsidRPr="006429EE">
        <w:rPr>
          <w:sz w:val="28"/>
          <w:szCs w:val="28"/>
        </w:rPr>
        <w:t xml:space="preserve"> 166-ФЗ </w:t>
      </w:r>
      <w:r>
        <w:rPr>
          <w:sz w:val="28"/>
          <w:szCs w:val="28"/>
        </w:rPr>
        <w:t>«</w:t>
      </w:r>
      <w:r w:rsidRPr="006429EE">
        <w:rPr>
          <w:sz w:val="28"/>
          <w:szCs w:val="28"/>
        </w:rPr>
        <w:t>О рыболовстве и сохранении водных биологических ресурсов</w:t>
      </w:r>
      <w:r>
        <w:rPr>
          <w:sz w:val="28"/>
          <w:szCs w:val="28"/>
        </w:rPr>
        <w:t>»</w:t>
      </w:r>
      <w:r w:rsidRPr="006429EE">
        <w:rPr>
          <w:sz w:val="28"/>
          <w:szCs w:val="28"/>
        </w:rPr>
        <w:t xml:space="preserve"> нового договора пользования рыболовным участком для осуществления промышленного рыболовства и организации любительского рыболовства, подлежащая зачислению в бюджет субъекта Российской Федерации</w:t>
      </w:r>
      <w:r w:rsidR="0011670B" w:rsidRPr="0011670B">
        <w:rPr>
          <w:sz w:val="28"/>
          <w:szCs w:val="28"/>
        </w:rPr>
        <w:t>»</w:t>
      </w:r>
      <w:r w:rsidRPr="006429EE">
        <w:rPr>
          <w:sz w:val="28"/>
          <w:szCs w:val="28"/>
        </w:rPr>
        <w:t>;</w:t>
      </w:r>
    </w:p>
    <w:p w:rsidR="006429EE" w:rsidRDefault="006429EE" w:rsidP="006429EE">
      <w:pPr>
        <w:ind w:firstLine="709"/>
        <w:contextualSpacing/>
        <w:jc w:val="both"/>
        <w:rPr>
          <w:sz w:val="28"/>
          <w:szCs w:val="28"/>
        </w:rPr>
      </w:pPr>
      <w:r w:rsidRPr="006429EE">
        <w:rPr>
          <w:sz w:val="28"/>
          <w:szCs w:val="28"/>
        </w:rPr>
        <w:t xml:space="preserve">2) </w:t>
      </w:r>
      <w:r>
        <w:rPr>
          <w:sz w:val="28"/>
          <w:szCs w:val="28"/>
        </w:rPr>
        <w:t>«</w:t>
      </w:r>
      <w:r w:rsidRPr="006429EE">
        <w:rPr>
          <w:sz w:val="28"/>
          <w:szCs w:val="28"/>
        </w:rPr>
        <w:t xml:space="preserve">814 1 16 10021 02 0000 140 Возмещение ущерба при возникновении страховых случаев, когда выгодоприобретателями выступают получатели средств бюджета субъекта Российской </w:t>
      </w:r>
      <w:proofErr w:type="spellStart"/>
      <w:r w:rsidRPr="006429EE">
        <w:rPr>
          <w:sz w:val="28"/>
          <w:szCs w:val="28"/>
        </w:rPr>
        <w:t>Федерации</w:t>
      </w:r>
      <w:r>
        <w:rPr>
          <w:sz w:val="28"/>
          <w:szCs w:val="28"/>
        </w:rPr>
        <w:t>»</w:t>
      </w:r>
      <w:proofErr w:type="spellEnd"/>
      <w:r w:rsidRPr="006429EE">
        <w:rPr>
          <w:sz w:val="28"/>
          <w:szCs w:val="28"/>
        </w:rPr>
        <w:t>;</w:t>
      </w:r>
    </w:p>
    <w:p w:rsidR="0011670B" w:rsidRPr="006429EE" w:rsidRDefault="006429EE" w:rsidP="006429EE">
      <w:pPr>
        <w:ind w:firstLine="709"/>
        <w:contextualSpacing/>
        <w:jc w:val="both"/>
        <w:rPr>
          <w:sz w:val="28"/>
          <w:szCs w:val="28"/>
        </w:rPr>
      </w:pPr>
      <w:r>
        <w:rPr>
          <w:sz w:val="28"/>
          <w:szCs w:val="28"/>
        </w:rPr>
        <w:t>3) «</w:t>
      </w:r>
      <w:r w:rsidR="00740461">
        <w:rPr>
          <w:sz w:val="28"/>
          <w:szCs w:val="28"/>
        </w:rPr>
        <w:t xml:space="preserve">866 1 16 10056 02 0000 140 </w:t>
      </w:r>
      <w:r w:rsidR="00740461" w:rsidRPr="00740461">
        <w:rPr>
          <w:sz w:val="28"/>
          <w:szCs w:val="28"/>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r>
        <w:rPr>
          <w:sz w:val="28"/>
          <w:szCs w:val="28"/>
        </w:rPr>
        <w:t>»</w:t>
      </w:r>
      <w:r w:rsidR="00EA71FA">
        <w:rPr>
          <w:sz w:val="28"/>
          <w:szCs w:val="28"/>
        </w:rPr>
        <w:t>.</w:t>
      </w:r>
    </w:p>
    <w:p w:rsidR="00D53179" w:rsidRPr="00D52640" w:rsidRDefault="007A5C72" w:rsidP="00D52640">
      <w:pPr>
        <w:ind w:firstLine="709"/>
        <w:contextualSpacing/>
        <w:jc w:val="both"/>
        <w:rPr>
          <w:sz w:val="28"/>
          <w:szCs w:val="28"/>
        </w:rPr>
      </w:pPr>
      <w:bookmarkStart w:id="1" w:name="_GoBack"/>
      <w:bookmarkEnd w:id="1"/>
      <w:r>
        <w:rPr>
          <w:sz w:val="28"/>
          <w:szCs w:val="28"/>
        </w:rPr>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5B27">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2" w:name="SIGNERSTAMP1"/>
            <w:r w:rsidRPr="0046569C">
              <w:rPr>
                <w:color w:val="FFFFFF" w:themeColor="background1"/>
              </w:rPr>
              <w:t>[горизонтальный штамп подписи 1]</w:t>
            </w:r>
            <w:bookmarkEnd w:id="2"/>
          </w:p>
        </w:tc>
        <w:tc>
          <w:tcPr>
            <w:tcW w:w="2308" w:type="dxa"/>
            <w:shd w:val="clear" w:color="auto" w:fill="auto"/>
            <w:tcMar>
              <w:left w:w="0" w:type="dxa"/>
              <w:right w:w="0" w:type="dxa"/>
            </w:tcMar>
          </w:tcPr>
          <w:p w:rsidR="0046569C" w:rsidRPr="007D02CD" w:rsidRDefault="00944A6C" w:rsidP="00944A6C">
            <w:pPr>
              <w:jc w:val="right"/>
              <w:rPr>
                <w:sz w:val="28"/>
                <w:szCs w:val="28"/>
              </w:rPr>
            </w:pPr>
            <w:r>
              <w:rPr>
                <w:sz w:val="28"/>
                <w:szCs w:val="28"/>
              </w:rPr>
              <w:t>А</w:t>
            </w:r>
            <w:r w:rsidR="00641ACF" w:rsidRPr="007D02CD">
              <w:rPr>
                <w:sz w:val="28"/>
                <w:szCs w:val="28"/>
              </w:rPr>
              <w:t>.</w:t>
            </w:r>
            <w:r>
              <w:rPr>
                <w:sz w:val="28"/>
                <w:szCs w:val="28"/>
              </w:rPr>
              <w:t>Н</w:t>
            </w:r>
            <w:r w:rsidR="007D02CD" w:rsidRPr="007D02CD">
              <w:rPr>
                <w:sz w:val="28"/>
                <w:szCs w:val="28"/>
              </w:rPr>
              <w:t>.</w:t>
            </w:r>
            <w:r w:rsidR="00641ACF" w:rsidRPr="007D02CD">
              <w:rPr>
                <w:sz w:val="28"/>
                <w:szCs w:val="28"/>
              </w:rPr>
              <w:t xml:space="preserve"> </w:t>
            </w:r>
            <w:r>
              <w:rPr>
                <w:sz w:val="28"/>
                <w:szCs w:val="28"/>
              </w:rPr>
              <w:t>Бутылин</w:t>
            </w:r>
          </w:p>
        </w:tc>
      </w:tr>
    </w:tbl>
    <w:p w:rsidR="00220FFD" w:rsidRDefault="00220FFD" w:rsidP="000B67F2">
      <w:pPr>
        <w:jc w:val="both"/>
        <w:rPr>
          <w:sz w:val="12"/>
          <w:szCs w:val="12"/>
        </w:rPr>
      </w:pPr>
    </w:p>
    <w:sectPr w:rsidR="00220FFD" w:rsidSect="00C30FA7">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740461">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4C3F"/>
    <w:rsid w:val="000C7139"/>
    <w:rsid w:val="000E4543"/>
    <w:rsid w:val="000E53EF"/>
    <w:rsid w:val="000E7450"/>
    <w:rsid w:val="000F1695"/>
    <w:rsid w:val="00103B13"/>
    <w:rsid w:val="00112C1A"/>
    <w:rsid w:val="00113F00"/>
    <w:rsid w:val="0011670B"/>
    <w:rsid w:val="0011798C"/>
    <w:rsid w:val="00127C2F"/>
    <w:rsid w:val="001307C6"/>
    <w:rsid w:val="00140E22"/>
    <w:rsid w:val="00140FEB"/>
    <w:rsid w:val="00143DEF"/>
    <w:rsid w:val="001456CA"/>
    <w:rsid w:val="00180140"/>
    <w:rsid w:val="001816C0"/>
    <w:rsid w:val="00181702"/>
    <w:rsid w:val="00181A55"/>
    <w:rsid w:val="0018739B"/>
    <w:rsid w:val="001A102A"/>
    <w:rsid w:val="001A36FF"/>
    <w:rsid w:val="001C15D6"/>
    <w:rsid w:val="001C4098"/>
    <w:rsid w:val="001D00F5"/>
    <w:rsid w:val="001D1202"/>
    <w:rsid w:val="001D418F"/>
    <w:rsid w:val="001D4724"/>
    <w:rsid w:val="001E23D5"/>
    <w:rsid w:val="001F2DBF"/>
    <w:rsid w:val="001F5D63"/>
    <w:rsid w:val="00212D10"/>
    <w:rsid w:val="00213104"/>
    <w:rsid w:val="00216B46"/>
    <w:rsid w:val="00220FFD"/>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C1F"/>
    <w:rsid w:val="00505EEE"/>
    <w:rsid w:val="00507E0C"/>
    <w:rsid w:val="005119C6"/>
    <w:rsid w:val="00525D1B"/>
    <w:rsid w:val="005271B3"/>
    <w:rsid w:val="00536A1E"/>
    <w:rsid w:val="0054115A"/>
    <w:rsid w:val="005518A1"/>
    <w:rsid w:val="00552F3D"/>
    <w:rsid w:val="00554CE5"/>
    <w:rsid w:val="005578C9"/>
    <w:rsid w:val="00563B33"/>
    <w:rsid w:val="00565B27"/>
    <w:rsid w:val="00567B71"/>
    <w:rsid w:val="00576D34"/>
    <w:rsid w:val="005846D7"/>
    <w:rsid w:val="00584BF1"/>
    <w:rsid w:val="00595016"/>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29EE"/>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C7D48"/>
    <w:rsid w:val="006E12F2"/>
    <w:rsid w:val="006E1E76"/>
    <w:rsid w:val="006E54AE"/>
    <w:rsid w:val="006E593A"/>
    <w:rsid w:val="006E6DA5"/>
    <w:rsid w:val="006E7B05"/>
    <w:rsid w:val="006F03FA"/>
    <w:rsid w:val="006F4182"/>
    <w:rsid w:val="006F5D44"/>
    <w:rsid w:val="006F7126"/>
    <w:rsid w:val="00704C5C"/>
    <w:rsid w:val="00705D15"/>
    <w:rsid w:val="007154B8"/>
    <w:rsid w:val="00724C5B"/>
    <w:rsid w:val="00725A0F"/>
    <w:rsid w:val="00731645"/>
    <w:rsid w:val="007332AC"/>
    <w:rsid w:val="007338BC"/>
    <w:rsid w:val="00736848"/>
    <w:rsid w:val="00740461"/>
    <w:rsid w:val="0074156B"/>
    <w:rsid w:val="00741752"/>
    <w:rsid w:val="00744B7F"/>
    <w:rsid w:val="007638A0"/>
    <w:rsid w:val="00776C8D"/>
    <w:rsid w:val="007A40C8"/>
    <w:rsid w:val="007A5C72"/>
    <w:rsid w:val="007B3851"/>
    <w:rsid w:val="007C4604"/>
    <w:rsid w:val="007D02CD"/>
    <w:rsid w:val="007D1554"/>
    <w:rsid w:val="007D3340"/>
    <w:rsid w:val="007D640B"/>
    <w:rsid w:val="007D7445"/>
    <w:rsid w:val="007D746A"/>
    <w:rsid w:val="007E343B"/>
    <w:rsid w:val="007E7ADA"/>
    <w:rsid w:val="007F041D"/>
    <w:rsid w:val="007F3981"/>
    <w:rsid w:val="007F3D5B"/>
    <w:rsid w:val="007F6508"/>
    <w:rsid w:val="007F7A62"/>
    <w:rsid w:val="008004DC"/>
    <w:rsid w:val="00812B9A"/>
    <w:rsid w:val="00817093"/>
    <w:rsid w:val="00825303"/>
    <w:rsid w:val="00851AC4"/>
    <w:rsid w:val="008520AD"/>
    <w:rsid w:val="0085578D"/>
    <w:rsid w:val="00860C71"/>
    <w:rsid w:val="008708D4"/>
    <w:rsid w:val="00881C7B"/>
    <w:rsid w:val="00885C3E"/>
    <w:rsid w:val="0089042F"/>
    <w:rsid w:val="00890A15"/>
    <w:rsid w:val="0089158D"/>
    <w:rsid w:val="00894735"/>
    <w:rsid w:val="008B1995"/>
    <w:rsid w:val="008B3AEE"/>
    <w:rsid w:val="008B668F"/>
    <w:rsid w:val="008C0054"/>
    <w:rsid w:val="008C29B2"/>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84CA1"/>
    <w:rsid w:val="0099384D"/>
    <w:rsid w:val="00997410"/>
    <w:rsid w:val="00997969"/>
    <w:rsid w:val="009A2D81"/>
    <w:rsid w:val="009A471F"/>
    <w:rsid w:val="009D1FEE"/>
    <w:rsid w:val="009E0173"/>
    <w:rsid w:val="009E6910"/>
    <w:rsid w:val="009E69C7"/>
    <w:rsid w:val="009F320C"/>
    <w:rsid w:val="00A03134"/>
    <w:rsid w:val="00A0738A"/>
    <w:rsid w:val="00A2020A"/>
    <w:rsid w:val="00A220ED"/>
    <w:rsid w:val="00A43195"/>
    <w:rsid w:val="00A435F2"/>
    <w:rsid w:val="00A43C73"/>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D551B"/>
    <w:rsid w:val="00AE2D06"/>
    <w:rsid w:val="00AE358A"/>
    <w:rsid w:val="00AE69FA"/>
    <w:rsid w:val="00AE6EEF"/>
    <w:rsid w:val="00AF517B"/>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6993"/>
    <w:rsid w:val="00BA6144"/>
    <w:rsid w:val="00BA6DC7"/>
    <w:rsid w:val="00BB478D"/>
    <w:rsid w:val="00BD13FF"/>
    <w:rsid w:val="00BD6085"/>
    <w:rsid w:val="00BD652A"/>
    <w:rsid w:val="00BD740A"/>
    <w:rsid w:val="00BE1E47"/>
    <w:rsid w:val="00BE2FB5"/>
    <w:rsid w:val="00BE6563"/>
    <w:rsid w:val="00BE6B46"/>
    <w:rsid w:val="00BF1148"/>
    <w:rsid w:val="00BF14AA"/>
    <w:rsid w:val="00BF2975"/>
    <w:rsid w:val="00BF3269"/>
    <w:rsid w:val="00C04181"/>
    <w:rsid w:val="00C17533"/>
    <w:rsid w:val="00C211E9"/>
    <w:rsid w:val="00C30FA7"/>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6F75"/>
    <w:rsid w:val="00CA7341"/>
    <w:rsid w:val="00CB7813"/>
    <w:rsid w:val="00CC343C"/>
    <w:rsid w:val="00CD2876"/>
    <w:rsid w:val="00CD3838"/>
    <w:rsid w:val="00CE6B70"/>
    <w:rsid w:val="00D048DA"/>
    <w:rsid w:val="00D10E09"/>
    <w:rsid w:val="00D1579F"/>
    <w:rsid w:val="00D16B35"/>
    <w:rsid w:val="00D206A1"/>
    <w:rsid w:val="00D31705"/>
    <w:rsid w:val="00D3232D"/>
    <w:rsid w:val="00D330ED"/>
    <w:rsid w:val="00D34C87"/>
    <w:rsid w:val="00D45661"/>
    <w:rsid w:val="00D50172"/>
    <w:rsid w:val="00D52640"/>
    <w:rsid w:val="00D53179"/>
    <w:rsid w:val="00D738D4"/>
    <w:rsid w:val="00D73907"/>
    <w:rsid w:val="00D739C4"/>
    <w:rsid w:val="00D8142F"/>
    <w:rsid w:val="00D87509"/>
    <w:rsid w:val="00D928E2"/>
    <w:rsid w:val="00DB0461"/>
    <w:rsid w:val="00DB7321"/>
    <w:rsid w:val="00DC1142"/>
    <w:rsid w:val="00DC1CC2"/>
    <w:rsid w:val="00DC4951"/>
    <w:rsid w:val="00DD3A94"/>
    <w:rsid w:val="00DD62BE"/>
    <w:rsid w:val="00DF2561"/>
    <w:rsid w:val="00DF3901"/>
    <w:rsid w:val="00DF3A35"/>
    <w:rsid w:val="00E06F0E"/>
    <w:rsid w:val="00E14372"/>
    <w:rsid w:val="00E159EE"/>
    <w:rsid w:val="00E21060"/>
    <w:rsid w:val="00E232CD"/>
    <w:rsid w:val="00E40D0A"/>
    <w:rsid w:val="00E43581"/>
    <w:rsid w:val="00E43CC4"/>
    <w:rsid w:val="00E4438E"/>
    <w:rsid w:val="00E5075F"/>
    <w:rsid w:val="00E61A8D"/>
    <w:rsid w:val="00E6214E"/>
    <w:rsid w:val="00E72DA7"/>
    <w:rsid w:val="00E74440"/>
    <w:rsid w:val="00E8524F"/>
    <w:rsid w:val="00EA71FA"/>
    <w:rsid w:val="00EB0503"/>
    <w:rsid w:val="00EB33FA"/>
    <w:rsid w:val="00EC2DBB"/>
    <w:rsid w:val="00EC3740"/>
    <w:rsid w:val="00EC3AED"/>
    <w:rsid w:val="00EC4B01"/>
    <w:rsid w:val="00EC56E9"/>
    <w:rsid w:val="00EC6903"/>
    <w:rsid w:val="00EF524F"/>
    <w:rsid w:val="00F01E11"/>
    <w:rsid w:val="00F07DED"/>
    <w:rsid w:val="00F148B5"/>
    <w:rsid w:val="00F15B3B"/>
    <w:rsid w:val="00F16B78"/>
    <w:rsid w:val="00F31EAA"/>
    <w:rsid w:val="00F46EC1"/>
    <w:rsid w:val="00F47390"/>
    <w:rsid w:val="00F522F8"/>
    <w:rsid w:val="00F52709"/>
    <w:rsid w:val="00F54DB1"/>
    <w:rsid w:val="00F54E2E"/>
    <w:rsid w:val="00F554F2"/>
    <w:rsid w:val="00F63133"/>
    <w:rsid w:val="00F7002C"/>
    <w:rsid w:val="00F70D1E"/>
    <w:rsid w:val="00F76EF9"/>
    <w:rsid w:val="00F81A81"/>
    <w:rsid w:val="00F8207B"/>
    <w:rsid w:val="00FB47AC"/>
    <w:rsid w:val="00FB5630"/>
    <w:rsid w:val="00FC5EC8"/>
    <w:rsid w:val="00FD4111"/>
    <w:rsid w:val="00FD6D8F"/>
    <w:rsid w:val="00FE0846"/>
    <w:rsid w:val="00FE2BF1"/>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326A"/>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28630727">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20567319">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1997025364">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2406-9897-4F5C-B9DB-4C92A7C3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2</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70</cp:revision>
  <cp:lastPrinted>2023-09-12T23:14:00Z</cp:lastPrinted>
  <dcterms:created xsi:type="dcterms:W3CDTF">2024-11-08T02:11:00Z</dcterms:created>
  <dcterms:modified xsi:type="dcterms:W3CDTF">2026-04-03T03:48:00Z</dcterms:modified>
</cp:coreProperties>
</file>