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Об утве</w:t>
      </w:r>
      <w:r>
        <w:rPr>
          <w:rFonts w:ascii="Times New Roman" w:hAnsi="Times New Roman"/>
          <w:b/>
          <w:sz w:val="28"/>
          <w:lang w:val="ru-RU"/>
        </w:rPr>
        <w:t xml:space="preserve">рждении Порядка проведения технического учета жилищного фонда, в том числе его технической инвентаризации и технической паспортизации, организации и ведения архива технической документации на объекты государственного учета жилищного фонда в Камчатском крае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</w:t>
      </w:r>
      <w:r>
        <w:rPr>
          <w:rFonts w:ascii="Times New Roman" w:hAnsi="Times New Roman"/>
          <w:sz w:val="28"/>
          <w:vertAlign w:val="superscript"/>
          <w:lang w:val="en-US"/>
        </w:rPr>
        <w:t xml:space="preserve">1</w:t>
      </w:r>
      <w:r>
        <w:rPr>
          <w:rFonts w:ascii="Times New Roman" w:hAnsi="Times New Roman"/>
          <w:sz w:val="28"/>
        </w:rPr>
        <w:t xml:space="preserve"> статьи 13 Жилищного кодекса </w:t>
        <w:br/>
        <w:t xml:space="preserve">Российской Федерации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Утвердить Порядок проведения технического учета жи</w:t>
      </w:r>
      <w:r>
        <w:rPr>
          <w:rFonts w:ascii="Times New Roman" w:hAnsi="Times New Roman"/>
          <w:sz w:val="28"/>
        </w:rPr>
        <w:t xml:space="preserve">лищного фонда, в том числе его технической инвентаризации и технической паспортизации, организации и ведения архива технической документации на объекты государственного учета жилищного фонда в Камчатском крае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Порядок</w:t>
        <w:br/>
        <w:t xml:space="preserve">проведения </w:t>
      </w:r>
      <w:r>
        <w:rPr>
          <w:rFonts w:ascii="Times New Roman" w:hAnsi="Times New Roman"/>
          <w:sz w:val="28"/>
          <w:szCs w:val="28"/>
        </w:rPr>
        <w:t xml:space="preserve">технического учета жилищного фонда, в том числе его технической инвентаризации и технической паспортизации, организации и ведения архива технической документации на объекты государственного учета жилищного фонда в Камчатском крае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б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щ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ж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Настоящий Порядок устанавливает требования к проведению</w:t>
        <w:br/>
        <w:t xml:space="preserve">технического учета жилищного фонда, в том числе к его технической</w:t>
        <w:br/>
        <w:t xml:space="preserve">инвентаризации и технической паспортизации, к организации и ведению архива технической документации на объекты государственного учета</w:t>
        <w:br/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жилищного фонда в Камчатском крае (далее – архив технической документации).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2. Для целей настоящего Порядка применяются следующие понятия:</w:t>
        <w:br/>
        <w:tab/>
        <w:t xml:space="preserve">1) технический учет жилищного фонда (далее – технический учет) –</w:t>
        <w:br/>
        <w:t xml:space="preserve">система сбора, обра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ботки, хранения и представления информации о технических характеристиках и фактическом состоянии жилых домов, домов блокированной застройки, многоквартирных домов и помещений в них,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расположенных в Камчатском крае (далее – объекты жилищного фонда), получен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ной в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результате проведения их технической инвентаризации и технической паспортизации;</w:t>
        <w:br/>
        <w:tab/>
        <w:t xml:space="preserve">2) техническая инвентаризация жилищного фонда (далее – техническая</w:t>
        <w:br/>
        <w:t xml:space="preserve">инвентаризация) – деятельность по установлению или уточнению информации о местоположении, количественном 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качественном составе, техническом состоянии объектов жилищного фонда, а также фиксация изменений этих показателей во времени;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3) техническая паспортизация жилищного фонда (далее – техническая</w:t>
        <w:br/>
        <w:t xml:space="preserve">паспортизация) – процесс, в результате которого на объекты жилищ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ного</w:t>
        <w:br/>
        <w:t xml:space="preserve">фонда оформляются технические паспорта – документы, содержащие</w:t>
        <w:br/>
        <w:t xml:space="preserve">информацию о технических характеристиках и состоянии объектов жилищного фонда;</w:t>
        <w:br/>
        <w:tab/>
        <w:t xml:space="preserve">4) натурное обследование – осуществление замеров и визуальное</w:t>
        <w:br/>
        <w:t xml:space="preserve">обследование объектов жилищного фонда.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Иные понят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ия, используемые в настоящем Порядке, применяются в значениях, предусмотренных законодательством Российской Федерации.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3. Технический учет осуществляется в соответствии с федеральным</w:t>
        <w:br/>
        <w:t xml:space="preserve">законодательством, законодательством Камчатского края, правовыми</w:t>
        <w:br/>
        <w:t xml:space="preserve">актами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Министерств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 имущественных и земельных отношений Камчатского края (далее – Министерство) и локальными правовыми актами краевого государственного бюджетного учреждения «Камчатская государственная кадастровая оценка» (далее – учреждение), принятыми во исполнение настоя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щего Порядка.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сбор, обработка и хранение информации о местоположении,</w:t>
        <w:br/>
        <w:t xml:space="preserve">количественном и качественном составе, техническом состоянии и уровне благоустройства объектов жилищного фонда;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2) актуализация сведений об объектах жилищного фонда в объеме,</w:t>
        <w:br/>
        <w:t xml:space="preserve">предусмотренном технической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документацией;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3) обеспечение органов государственной власти и органов местного самоуправления Камчатского края, а также заинтересованных физических и</w:t>
        <w:br/>
        <w:t xml:space="preserve">юридических лиц достоверной информацией о технических характеристиках объектов жилищного фонда на основе технич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еской документации;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4) организация и ведение архива технической документации.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5. Техническому учету подлежат объекты жилищного фонда независимо</w:t>
        <w:br/>
        <w:t xml:space="preserve">от формы собственности. Технический учет осуществляется специализированными организациями имеющими право на проведение данного вида работ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6. Технический учет проводится в отношении: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1) вновь созданных объектов жилищного фонда;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2) объектов жилищного фонда случае реконструкции, перепланировки, переустройства, капитального ремонта, изменения состава или назначения или иных изменений технических или эксплуатационных характеристик;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3) объе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ктов жилищного фонда, техническая инвентаризация которых не</w:t>
        <w:br/>
        <w:t xml:space="preserve">была проведена ранее на основании данных исполнительной,</w:t>
        <w:br/>
        <w:t xml:space="preserve">разрешительной, строительной, проектной и иной технической документации и данных натурного обследования.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7. Объект жилищного фонда считаетс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я учтенным со дня присвоения ему</w:t>
        <w:br/>
        <w:t xml:space="preserve">инвентарного номера.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0"/>
        <w:jc w:val="center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Техническая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инвентаризация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8. Техническая инвентаризация подразделяется на первичную и текущую.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Первичная техническая инвентаризация проводится в случаях,</w:t>
        <w:br/>
        <w:t xml:space="preserve">предусмотренных пунктами 1, 3 части 6 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астоящего Порядка.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Текущая техническая инвентаризация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проводится в случаях,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предусмотренных пунктом 2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части 6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 настоящего Порядка (за исключением случая, установленного пунктом 3 части 6 настоящего Порядка), также в целях фиксации текущего фактическ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ого состояния объекта жилищного фонда.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9. Техническая инвентаризация проводится на возмездной договорной основе по заявлениям собственников объектов жилищного фонда или иных заинтересованных лиц (далее – заказчики).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10. Техническая инвентаризация осуществляется на основании: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1) натурного обследования;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2) проектной, разрешительной, 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сполнительной и строительной</w:t>
        <w:br/>
        <w:t xml:space="preserve">документации, представляемой заказчиком;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сведений из Единого государственного реестра недвижимости;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технических паспортов, оценочной и иной хранившейся по состоянию</w:t>
        <w:br/>
        <w:t xml:space="preserve">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кого учета и технической инвентаризации (регистрационных книг, реестров, правоустанавливающих документов и тому подобного) при наличии.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11. В целях проведения технической инвентаризации путем натурного</w:t>
        <w:br/>
        <w:t xml:space="preserve">обследования доступ к объекту учета обеспечивается заказ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чиками.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0"/>
        <w:jc w:val="center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Техническая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паспортизация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12. Техническая паспортизация заключается в составлении систематизированного описания характеристик объектов жилищного фонда и осуществляется по результатам технической инвентаризации.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13. Результатом технич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еской паспортизации является оформленный на объект жилищного фонда технический паспорт. Формы технических паспортов и порядок их заполнения утверждаются приказом Министерства.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14.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 подлежит передаче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15. Документы технической инвентаризации и паспортизации могут</w:t>
        <w:br/>
        <w:t xml:space="preserve">подготавливаться в форме электронных документов и документов на бумажном носителе. В случае расхожде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ния данных преимущество имеют</w:t>
        <w:br/>
        <w:t xml:space="preserve">данные документов на бумажном носителе.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0"/>
        <w:jc w:val="center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4. Организация и ведение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 архива технической документации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16. Техническая документация, полученная в результате технической</w:t>
        <w:br/>
        <w:t xml:space="preserve">инвентаризации и технической паспортизации, приобщается к архиву технической документации учреждения, сформированному до вступления в сил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у настоящего Порядка. Архив технической документации составляют технические паспорта и иные документы, составленные либо использованные при проведении технической инвентаризации и технической паспортизации.</w:t>
        <w:br/>
        <w:t xml:space="preserve">Архив технической документации подлежит постоянно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му хранению в архивохранилище учреждения.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17. Порядок формирования, ведения и использования инвентарных дел утверждается приказом Министерства.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18. Сохранность архива технической документации обеспечивается</w:t>
        <w:br/>
        <w:t xml:space="preserve">учреждением в соответствии с законодательством Росс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ийской Федерации </w:t>
        <w:br/>
        <w:t xml:space="preserve">об архивном деле.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19"/>
    <w:link w:val="8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19"/>
    <w:link w:val="81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19"/>
    <w:link w:val="81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19"/>
    <w:link w:val="8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19"/>
    <w:link w:val="8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813"/>
    <w:next w:val="813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6 Char"/>
    <w:basedOn w:val="819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2">
    <w:name w:val="Heading 7"/>
    <w:basedOn w:val="813"/>
    <w:next w:val="813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>
    <w:name w:val="Heading 7 Char"/>
    <w:basedOn w:val="819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4">
    <w:name w:val="Heading 8"/>
    <w:basedOn w:val="813"/>
    <w:next w:val="813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8 Char"/>
    <w:basedOn w:val="819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6">
    <w:name w:val="Heading 9"/>
    <w:basedOn w:val="813"/>
    <w:next w:val="813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7">
    <w:name w:val="Heading 9 Char"/>
    <w:basedOn w:val="819"/>
    <w:link w:val="6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8">
    <w:name w:val="List Paragraph"/>
    <w:basedOn w:val="813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19"/>
    <w:link w:val="859"/>
    <w:uiPriority w:val="10"/>
    <w:rPr>
      <w:sz w:val="48"/>
      <w:szCs w:val="48"/>
    </w:rPr>
  </w:style>
  <w:style w:type="character" w:styleId="671">
    <w:name w:val="Subtitle Char"/>
    <w:basedOn w:val="819"/>
    <w:link w:val="855"/>
    <w:uiPriority w:val="11"/>
    <w:rPr>
      <w:sz w:val="24"/>
      <w:szCs w:val="24"/>
    </w:rPr>
  </w:style>
  <w:style w:type="paragraph" w:styleId="672">
    <w:name w:val="Quote"/>
    <w:basedOn w:val="813"/>
    <w:next w:val="813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3"/>
    <w:next w:val="813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19"/>
    <w:link w:val="827"/>
    <w:uiPriority w:val="99"/>
  </w:style>
  <w:style w:type="character" w:styleId="677">
    <w:name w:val="Footer Char"/>
    <w:basedOn w:val="819"/>
    <w:link w:val="857"/>
    <w:uiPriority w:val="99"/>
  </w:style>
  <w:style w:type="paragraph" w:styleId="678">
    <w:name w:val="Caption"/>
    <w:basedOn w:val="813"/>
    <w:next w:val="813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819"/>
    <w:link w:val="678"/>
    <w:uiPriority w:val="35"/>
    <w:rPr>
      <w:b/>
      <w:bCs/>
      <w:color w:val="4f81bd" w:themeColor="accent1"/>
      <w:sz w:val="18"/>
      <w:szCs w:val="18"/>
    </w:rPr>
  </w:style>
  <w:style w:type="table" w:styleId="680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2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79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4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13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19"/>
    <w:uiPriority w:val="99"/>
    <w:unhideWhenUsed/>
    <w:rPr>
      <w:vertAlign w:val="superscript"/>
    </w:rPr>
  </w:style>
  <w:style w:type="paragraph" w:styleId="808">
    <w:name w:val="endnote text"/>
    <w:basedOn w:val="813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19"/>
    <w:uiPriority w:val="99"/>
    <w:semiHidden/>
    <w:unhideWhenUsed/>
    <w:rPr>
      <w:vertAlign w:val="superscript"/>
    </w:r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link w:val="822"/>
    <w:qFormat/>
  </w:style>
  <w:style w:type="paragraph" w:styleId="814">
    <w:name w:val="Heading 1"/>
    <w:next w:val="813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5">
    <w:name w:val="Heading 2"/>
    <w:next w:val="813"/>
    <w:link w:val="86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6">
    <w:name w:val="Heading 3"/>
    <w:next w:val="81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7">
    <w:name w:val="Heading 4"/>
    <w:next w:val="813"/>
    <w:link w:val="86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8">
    <w:name w:val="Heading 5"/>
    <w:next w:val="813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character" w:styleId="822" w:customStyle="1">
    <w:name w:val="Обычный1"/>
  </w:style>
  <w:style w:type="paragraph" w:styleId="823">
    <w:name w:val="toc 2"/>
    <w:next w:val="81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81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Header"/>
    <w:basedOn w:val="813"/>
    <w:link w:val="82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8" w:customStyle="1">
    <w:name w:val="Верхний колонтитул Знак"/>
    <w:basedOn w:val="822"/>
    <w:link w:val="827"/>
    <w:uiPriority w:val="99"/>
  </w:style>
  <w:style w:type="paragraph" w:styleId="829">
    <w:name w:val="toc 6"/>
    <w:next w:val="813"/>
    <w:link w:val="830"/>
    <w:uiPriority w:val="39"/>
    <w:pPr>
      <w:ind w:left="1000"/>
    </w:pPr>
    <w:rPr>
      <w:rFonts w:ascii="XO Thames" w:hAnsi="XO Thames"/>
      <w:sz w:val="28"/>
    </w:rPr>
  </w:style>
  <w:style w:type="character" w:styleId="830" w:customStyle="1">
    <w:name w:val="Оглавление 6 Знак"/>
    <w:link w:val="829"/>
    <w:rPr>
      <w:rFonts w:ascii="XO Thames" w:hAnsi="XO Thames"/>
      <w:sz w:val="28"/>
    </w:rPr>
  </w:style>
  <w:style w:type="paragraph" w:styleId="831">
    <w:name w:val="toc 7"/>
    <w:next w:val="813"/>
    <w:link w:val="832"/>
    <w:uiPriority w:val="39"/>
    <w:pPr>
      <w:ind w:left="1200"/>
    </w:pPr>
    <w:rPr>
      <w:rFonts w:ascii="XO Thames" w:hAnsi="XO Thames"/>
      <w:sz w:val="28"/>
    </w:rPr>
  </w:style>
  <w:style w:type="character" w:styleId="832" w:customStyle="1">
    <w:name w:val="Оглавление 7 Знак"/>
    <w:link w:val="831"/>
    <w:rPr>
      <w:rFonts w:ascii="XO Thames" w:hAnsi="XO Thames"/>
      <w:sz w:val="28"/>
    </w:rPr>
  </w:style>
  <w:style w:type="character" w:styleId="833" w:customStyle="1">
    <w:name w:val="Заголовок 3 Знак"/>
    <w:link w:val="816"/>
    <w:rPr>
      <w:rFonts w:ascii="XO Thames" w:hAnsi="XO Thames"/>
      <w:b/>
      <w:sz w:val="26"/>
    </w:rPr>
  </w:style>
  <w:style w:type="paragraph" w:styleId="834">
    <w:name w:val="Plain Text"/>
    <w:basedOn w:val="813"/>
    <w:link w:val="835"/>
    <w:pPr>
      <w:spacing w:after="0" w:line="240" w:lineRule="auto"/>
    </w:pPr>
    <w:rPr>
      <w:rFonts w:ascii="Calibri" w:hAnsi="Calibri"/>
    </w:rPr>
  </w:style>
  <w:style w:type="character" w:styleId="835" w:customStyle="1">
    <w:name w:val="Текст Знак"/>
    <w:basedOn w:val="822"/>
    <w:link w:val="834"/>
    <w:rPr>
      <w:rFonts w:ascii="Calibri" w:hAnsi="Calibri"/>
    </w:rPr>
  </w:style>
  <w:style w:type="paragraph" w:styleId="836">
    <w:name w:val="toc 3"/>
    <w:next w:val="813"/>
    <w:link w:val="837"/>
    <w:uiPriority w:val="39"/>
    <w:pPr>
      <w:ind w:left="400"/>
    </w:pPr>
    <w:rPr>
      <w:rFonts w:ascii="XO Thames" w:hAnsi="XO Thames"/>
      <w:sz w:val="28"/>
    </w:rPr>
  </w:style>
  <w:style w:type="character" w:styleId="837" w:customStyle="1">
    <w:name w:val="Оглавление 3 Знак"/>
    <w:link w:val="836"/>
    <w:rPr>
      <w:rFonts w:ascii="XO Thames" w:hAnsi="XO Thames"/>
      <w:sz w:val="28"/>
    </w:rPr>
  </w:style>
  <w:style w:type="character" w:styleId="838" w:customStyle="1">
    <w:name w:val="Заголовок 5 Знак"/>
    <w:link w:val="818"/>
    <w:rPr>
      <w:rFonts w:ascii="XO Thames" w:hAnsi="XO Thames"/>
      <w:b/>
      <w:sz w:val="22"/>
    </w:rPr>
  </w:style>
  <w:style w:type="character" w:styleId="839" w:customStyle="1">
    <w:name w:val="Заголовок 1 Знак"/>
    <w:link w:val="814"/>
    <w:rPr>
      <w:rFonts w:ascii="XO Thames" w:hAnsi="XO Thames"/>
      <w:b/>
      <w:sz w:val="32"/>
    </w:rPr>
  </w:style>
  <w:style w:type="paragraph" w:styleId="840" w:customStyle="1">
    <w:name w:val="Гиперссылка1"/>
    <w:basedOn w:val="848"/>
    <w:link w:val="841"/>
    <w:rPr>
      <w:color w:val="0563c1" w:themeColor="hyperlink"/>
      <w:u w:val="single"/>
    </w:rPr>
  </w:style>
  <w:style w:type="character" w:styleId="841">
    <w:name w:val="Hyperlink"/>
    <w:basedOn w:val="819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13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0"/>
    </w:rPr>
  </w:style>
  <w:style w:type="character" w:styleId="847" w:customStyle="1">
    <w:name w:val="Header and Footer"/>
    <w:link w:val="846"/>
    <w:rPr>
      <w:rFonts w:ascii="XO Thames" w:hAnsi="XO Thames"/>
      <w:sz w:val="20"/>
    </w:rPr>
  </w:style>
  <w:style w:type="paragraph" w:styleId="848" w:customStyle="1">
    <w:name w:val="Основной шрифт абзаца1"/>
  </w:style>
  <w:style w:type="paragraph" w:styleId="849">
    <w:name w:val="toc 9"/>
    <w:next w:val="813"/>
    <w:link w:val="850"/>
    <w:uiPriority w:val="39"/>
    <w:pPr>
      <w:ind w:left="1600"/>
    </w:pPr>
    <w:rPr>
      <w:rFonts w:ascii="XO Thames" w:hAnsi="XO Thames"/>
      <w:sz w:val="28"/>
    </w:rPr>
  </w:style>
  <w:style w:type="character" w:styleId="850" w:customStyle="1">
    <w:name w:val="Оглавление 9 Знак"/>
    <w:link w:val="849"/>
    <w:rPr>
      <w:rFonts w:ascii="XO Thames" w:hAnsi="XO Thames"/>
      <w:sz w:val="28"/>
    </w:rPr>
  </w:style>
  <w:style w:type="paragraph" w:styleId="851">
    <w:name w:val="toc 8"/>
    <w:next w:val="813"/>
    <w:link w:val="852"/>
    <w:uiPriority w:val="39"/>
    <w:pPr>
      <w:ind w:left="1400"/>
    </w:pPr>
    <w:rPr>
      <w:rFonts w:ascii="XO Thames" w:hAnsi="XO Thames"/>
      <w:sz w:val="28"/>
    </w:rPr>
  </w:style>
  <w:style w:type="character" w:styleId="852" w:customStyle="1">
    <w:name w:val="Оглавление 8 Знак"/>
    <w:link w:val="851"/>
    <w:rPr>
      <w:rFonts w:ascii="XO Thames" w:hAnsi="XO Thames"/>
      <w:sz w:val="28"/>
    </w:rPr>
  </w:style>
  <w:style w:type="paragraph" w:styleId="853">
    <w:name w:val="toc 5"/>
    <w:next w:val="813"/>
    <w:link w:val="854"/>
    <w:uiPriority w:val="39"/>
    <w:pPr>
      <w:ind w:left="800"/>
    </w:pPr>
    <w:rPr>
      <w:rFonts w:ascii="XO Thames" w:hAnsi="XO Thames"/>
      <w:sz w:val="28"/>
    </w:rPr>
  </w:style>
  <w:style w:type="character" w:styleId="854" w:customStyle="1">
    <w:name w:val="Оглавление 5 Знак"/>
    <w:link w:val="853"/>
    <w:rPr>
      <w:rFonts w:ascii="XO Thames" w:hAnsi="XO Thames"/>
      <w:sz w:val="28"/>
    </w:rPr>
  </w:style>
  <w:style w:type="paragraph" w:styleId="855">
    <w:name w:val="Subtitle"/>
    <w:next w:val="813"/>
    <w:link w:val="8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6" w:customStyle="1">
    <w:name w:val="Подзаголовок Знак"/>
    <w:link w:val="855"/>
    <w:rPr>
      <w:rFonts w:ascii="XO Thames" w:hAnsi="XO Thames"/>
      <w:i/>
      <w:sz w:val="24"/>
    </w:rPr>
  </w:style>
  <w:style w:type="paragraph" w:styleId="857">
    <w:name w:val="Footer"/>
    <w:basedOn w:val="813"/>
    <w:link w:val="8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8" w:customStyle="1">
    <w:name w:val="Нижний колонтитул Знак"/>
    <w:basedOn w:val="822"/>
    <w:link w:val="857"/>
    <w:rPr>
      <w:rFonts w:ascii="Times New Roman" w:hAnsi="Times New Roman"/>
      <w:sz w:val="28"/>
    </w:rPr>
  </w:style>
  <w:style w:type="paragraph" w:styleId="859">
    <w:name w:val="Title"/>
    <w:next w:val="813"/>
    <w:link w:val="8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0" w:customStyle="1">
    <w:name w:val="Название Знак"/>
    <w:link w:val="859"/>
    <w:rPr>
      <w:rFonts w:ascii="XO Thames" w:hAnsi="XO Thames"/>
      <w:b/>
      <w:caps/>
      <w:sz w:val="40"/>
    </w:rPr>
  </w:style>
  <w:style w:type="paragraph" w:styleId="861">
    <w:name w:val="Balloon Text"/>
    <w:basedOn w:val="813"/>
    <w:link w:val="862"/>
    <w:pPr>
      <w:spacing w:after="0" w:line="240" w:lineRule="auto"/>
    </w:pPr>
    <w:rPr>
      <w:rFonts w:ascii="Segoe UI" w:hAnsi="Segoe UI"/>
      <w:sz w:val="18"/>
    </w:rPr>
  </w:style>
  <w:style w:type="character" w:styleId="862" w:customStyle="1">
    <w:name w:val="Текст выноски Знак"/>
    <w:basedOn w:val="822"/>
    <w:link w:val="861"/>
    <w:rPr>
      <w:rFonts w:ascii="Segoe UI" w:hAnsi="Segoe UI"/>
      <w:sz w:val="18"/>
    </w:rPr>
  </w:style>
  <w:style w:type="character" w:styleId="863" w:customStyle="1">
    <w:name w:val="Заголовок 4 Знак"/>
    <w:link w:val="817"/>
    <w:rPr>
      <w:rFonts w:ascii="XO Thames" w:hAnsi="XO Thames"/>
      <w:b/>
      <w:sz w:val="24"/>
    </w:rPr>
  </w:style>
  <w:style w:type="character" w:styleId="864" w:customStyle="1">
    <w:name w:val="Заголовок 2 Знак"/>
    <w:link w:val="815"/>
    <w:rPr>
      <w:rFonts w:ascii="XO Thames" w:hAnsi="XO Thames"/>
      <w:b/>
      <w:sz w:val="28"/>
    </w:rPr>
  </w:style>
  <w:style w:type="table" w:styleId="865">
    <w:name w:val="Table Grid"/>
    <w:basedOn w:val="82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2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platonovna</cp:lastModifiedBy>
  <cp:revision>15</cp:revision>
  <dcterms:created xsi:type="dcterms:W3CDTF">2025-01-31T01:52:00Z</dcterms:created>
  <dcterms:modified xsi:type="dcterms:W3CDTF">2026-03-30T06:33:19Z</dcterms:modified>
</cp:coreProperties>
</file>