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5E" w:rsidRDefault="00E57E7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</w:p>
    <w:p w:rsidR="00406A5E" w:rsidRDefault="00406A5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6A5E" w:rsidRDefault="00406A5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6A5E" w:rsidRDefault="00406A5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6A5E" w:rsidRDefault="00E57E7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6A5E" w:rsidRDefault="00E57E7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6A5E" w:rsidRDefault="00406A5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6A5E">
        <w:trPr>
          <w:trHeight w:val="163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06A5E" w:rsidRDefault="00E57E7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6A5E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06A5E" w:rsidRDefault="00E57E7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6A5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6A5E" w:rsidRDefault="00406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6A5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6A5E" w:rsidRDefault="00E57E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к постановлению Губернатора Камчатского края от 18.11.2019 № 82 «Об утверждении Регламента Правительства Камчатского края»</w:t>
      </w:r>
    </w:p>
    <w:p w:rsidR="00406A5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A5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A5E" w:rsidRDefault="00E57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уточнения положений о контрольной деятельности в Правительстве Камчатского края </w:t>
      </w:r>
    </w:p>
    <w:p w:rsidR="00406A5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A5E" w:rsidRDefault="00E57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6A5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A5E" w:rsidRDefault="00E57E7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приложение к постановлению Губернатора Камчатского края от 18.11.2019 № 82 </w:t>
      </w:r>
      <w:r>
        <w:rPr>
          <w:rFonts w:ascii="Times New Roman" w:hAnsi="Times New Roman"/>
          <w:bCs/>
          <w:sz w:val="28"/>
        </w:rPr>
        <w:t>«Об утверждении Регламента Правительства Камчатского края»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406A5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части 58 признать утратившим силу;</w:t>
      </w:r>
    </w:p>
    <w:p w:rsidR="00406A5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58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406A5E" w:rsidRDefault="00E57E78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«58</w:t>
      </w:r>
      <w:r>
        <w:rPr>
          <w:rFonts w:ascii="Times New Roman" w:hAnsi="Times New Roman"/>
          <w:color w:val="auto"/>
          <w:sz w:val="28"/>
          <w:vertAlign w:val="superscript"/>
        </w:rPr>
        <w:t>1</w:t>
      </w:r>
      <w:r>
        <w:rPr>
          <w:rFonts w:ascii="Times New Roman" w:hAnsi="Times New Roman"/>
          <w:color w:val="auto"/>
          <w:sz w:val="28"/>
        </w:rPr>
        <w:t>. В протокол заседания Правительства при необходимости вносятся решения Председателя Правительства об осуществлении контроля за исполнением соответствующего решения Правительства членом Президиума Правительства согласно распределению основных обязанностей либо Главным контрольным управлением</w:t>
      </w:r>
      <w:r w:rsidR="0018369F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Губернатора Камчатского края.»;</w:t>
      </w:r>
    </w:p>
    <w:p w:rsidR="00406A5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60 слова «либо в Главное контрольное управление в случае осуществления им контроля исполнения указанных решений» исключить;</w:t>
      </w:r>
    </w:p>
    <w:p w:rsidR="00406A5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60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 xml:space="preserve"> слова «, а также в Главное контрольное управление в случае осуществления им контроля исполнения указанных решений» исключить;</w:t>
      </w:r>
    </w:p>
    <w:p w:rsidR="00406A5E" w:rsidRPr="003835FE" w:rsidRDefault="0022110D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первый</w:t>
      </w:r>
      <w:bookmarkStart w:id="1" w:name="_GoBack"/>
      <w:bookmarkEnd w:id="1"/>
      <w:r w:rsidR="00E57E78" w:rsidRPr="003835FE">
        <w:rPr>
          <w:rFonts w:ascii="Times New Roman" w:hAnsi="Times New Roman"/>
          <w:sz w:val="28"/>
        </w:rPr>
        <w:t xml:space="preserve"> части 62 после слов «Главного контрольного управления» дополнить словами «Губернатора Камчатского края»;</w:t>
      </w:r>
    </w:p>
    <w:p w:rsidR="00406A5E" w:rsidRPr="003835F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835FE">
        <w:rPr>
          <w:rFonts w:ascii="Times New Roman" w:hAnsi="Times New Roman"/>
          <w:sz w:val="28"/>
        </w:rPr>
        <w:t>наименование раздела 7 изложить в следующей редакции:</w:t>
      </w:r>
    </w:p>
    <w:p w:rsidR="00406A5E" w:rsidRDefault="00E57E78">
      <w:pPr>
        <w:pStyle w:val="afe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7. Организация контрольной деятельности в Правительстве»;</w:t>
      </w:r>
    </w:p>
    <w:p w:rsidR="00406A5E" w:rsidRDefault="00E57E78">
      <w:pPr>
        <w:pStyle w:val="afe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 92 и 93 изложить в следующей редакции:</w:t>
      </w:r>
    </w:p>
    <w:p w:rsidR="00406A5E" w:rsidRDefault="00E57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«92. Общее руководство контрольной деятельностью в Правительстве (далее </w:t>
      </w:r>
      <w:r w:rsidR="001E5ADB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контрольная деятельность) осуществляет Председатель Правительства Камчатского края. Организация контроля за выполнением исполнительными органами Камчатского края принятых Правительством решений осуществляется Администрацией в лице ее структурных подразделений. Контроль за </w:t>
      </w:r>
      <w:r>
        <w:rPr>
          <w:rFonts w:ascii="Times New Roman" w:hAnsi="Times New Roman"/>
          <w:sz w:val="28"/>
        </w:rPr>
        <w:lastRenderedPageBreak/>
        <w:t>исполнением поручений Председателя Правительства осуществляется Главным контрольным управлением Губернатора Камчатского края.</w:t>
      </w:r>
    </w:p>
    <w:p w:rsidR="00406A5E" w:rsidRDefault="00E57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93. Планирование контрольной деятельности в исполнительных органах по исполнению поручений Председателя Правительства, решений, принятых на заседаниях Правительства, Президиума Правительства, осуществляется уполномоченными должностными лицами исполнительных органов.»;</w:t>
      </w:r>
    </w:p>
    <w:p w:rsidR="00406A5E" w:rsidRDefault="00E57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часть 96 изложить в следующей редакции:</w:t>
      </w:r>
    </w:p>
    <w:p w:rsidR="00406A5E" w:rsidRDefault="00E57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«96. Вопросы исполнительской дисциплины в исполнительных органах рассматриваются на заседаниях Президиума Правительства с участием Главного контрольного управления</w:t>
      </w:r>
      <w:r w:rsidR="007C6856">
        <w:rPr>
          <w:rFonts w:ascii="Times New Roman" w:hAnsi="Times New Roman"/>
          <w:sz w:val="28"/>
        </w:rPr>
        <w:t xml:space="preserve"> Губернатора Камчатского края</w:t>
      </w:r>
      <w:r>
        <w:rPr>
          <w:rFonts w:ascii="Times New Roman" w:hAnsi="Times New Roman"/>
          <w:sz w:val="28"/>
        </w:rPr>
        <w:t xml:space="preserve">. Начальник Главного контрольного управления </w:t>
      </w:r>
      <w:r w:rsidR="007C6856">
        <w:rPr>
          <w:rFonts w:ascii="Times New Roman" w:hAnsi="Times New Roman"/>
          <w:sz w:val="28"/>
        </w:rPr>
        <w:t xml:space="preserve">Губернатора Камчатского края </w:t>
      </w:r>
      <w:r>
        <w:rPr>
          <w:rFonts w:ascii="Times New Roman" w:hAnsi="Times New Roman"/>
          <w:sz w:val="28"/>
        </w:rPr>
        <w:t>периодически информирует Председателя Правительства о состоянии исполнительской дисциплины в исполнительных органах, в том числе о несвоевременном исполнении поручений исполнителями (ответственными исполнителями).»;</w:t>
      </w:r>
    </w:p>
    <w:p w:rsidR="00406A5E" w:rsidRDefault="00E57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в части 97 после слов «(ответственные исполнители) за» дополнить словами «неисполнение поручений,».</w:t>
      </w:r>
    </w:p>
    <w:p w:rsidR="00406A5E" w:rsidRDefault="00E57E7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опубликования. </w:t>
      </w:r>
    </w:p>
    <w:p w:rsidR="00406A5E" w:rsidRPr="003835F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A5E" w:rsidRPr="003835F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A5E" w:rsidRPr="003835FE" w:rsidRDefault="0040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6A5E">
        <w:trPr>
          <w:trHeight w:val="1274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6A5E" w:rsidRDefault="00E57E78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406A5E" w:rsidRDefault="00406A5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6A5E" w:rsidRDefault="00E57E78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6A5E" w:rsidRDefault="00406A5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406A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C2" w:rsidRDefault="00E872C2">
      <w:pPr>
        <w:spacing w:line="240" w:lineRule="auto"/>
      </w:pPr>
      <w:r>
        <w:separator/>
      </w:r>
    </w:p>
  </w:endnote>
  <w:endnote w:type="continuationSeparator" w:id="0">
    <w:p w:rsidR="00E872C2" w:rsidRDefault="00E87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5E" w:rsidRDefault="00406A5E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5E" w:rsidRDefault="00406A5E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5E" w:rsidRDefault="00406A5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C2" w:rsidRDefault="00E872C2">
      <w:pPr>
        <w:spacing w:after="0"/>
      </w:pPr>
      <w:r>
        <w:separator/>
      </w:r>
    </w:p>
  </w:footnote>
  <w:footnote w:type="continuationSeparator" w:id="0">
    <w:p w:rsidR="00E872C2" w:rsidRDefault="00E87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5E" w:rsidRDefault="00406A5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925030"/>
      <w:docPartObj>
        <w:docPartGallery w:val="Page Numbers (Top of Page)"/>
        <w:docPartUnique/>
      </w:docPartObj>
    </w:sdtPr>
    <w:sdtEndPr/>
    <w:sdtContent>
      <w:p w:rsidR="00406A5E" w:rsidRDefault="00E57E78">
        <w:pPr>
          <w:pStyle w:val="af5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2110D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06A5E" w:rsidRDefault="00406A5E">
    <w:pPr>
      <w:pStyle w:val="af5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5E" w:rsidRDefault="00406A5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5D3C"/>
    <w:multiLevelType w:val="hybridMultilevel"/>
    <w:tmpl w:val="1DB27DEA"/>
    <w:lvl w:ilvl="0" w:tplc="224C3B36">
      <w:start w:val="1"/>
      <w:numFmt w:val="decimal"/>
      <w:suff w:val="space"/>
      <w:lvlText w:val="%1."/>
      <w:lvlJc w:val="left"/>
    </w:lvl>
    <w:lvl w:ilvl="1" w:tplc="D8168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BA1F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B0E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EE61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54DC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EA9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C68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812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7C25661"/>
    <w:multiLevelType w:val="hybridMultilevel"/>
    <w:tmpl w:val="28803044"/>
    <w:lvl w:ilvl="0" w:tplc="FC0C2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8A265A4">
      <w:start w:val="1"/>
      <w:numFmt w:val="lowerLetter"/>
      <w:lvlText w:val="%2."/>
      <w:lvlJc w:val="left"/>
      <w:pPr>
        <w:ind w:left="1788" w:hanging="360"/>
      </w:pPr>
    </w:lvl>
    <w:lvl w:ilvl="2" w:tplc="CC2096A0">
      <w:start w:val="1"/>
      <w:numFmt w:val="lowerRoman"/>
      <w:lvlText w:val="%3."/>
      <w:lvlJc w:val="right"/>
      <w:pPr>
        <w:ind w:left="2508" w:hanging="180"/>
      </w:pPr>
    </w:lvl>
    <w:lvl w:ilvl="3" w:tplc="1902E900">
      <w:start w:val="1"/>
      <w:numFmt w:val="decimal"/>
      <w:lvlText w:val="%4."/>
      <w:lvlJc w:val="left"/>
      <w:pPr>
        <w:ind w:left="3228" w:hanging="360"/>
      </w:pPr>
    </w:lvl>
    <w:lvl w:ilvl="4" w:tplc="585C4A48">
      <w:start w:val="1"/>
      <w:numFmt w:val="lowerLetter"/>
      <w:lvlText w:val="%5."/>
      <w:lvlJc w:val="left"/>
      <w:pPr>
        <w:ind w:left="3948" w:hanging="360"/>
      </w:pPr>
    </w:lvl>
    <w:lvl w:ilvl="5" w:tplc="FE860482">
      <w:start w:val="1"/>
      <w:numFmt w:val="lowerRoman"/>
      <w:lvlText w:val="%6."/>
      <w:lvlJc w:val="right"/>
      <w:pPr>
        <w:ind w:left="4668" w:hanging="180"/>
      </w:pPr>
    </w:lvl>
    <w:lvl w:ilvl="6" w:tplc="70C6B82E">
      <w:start w:val="1"/>
      <w:numFmt w:val="decimal"/>
      <w:lvlText w:val="%7."/>
      <w:lvlJc w:val="left"/>
      <w:pPr>
        <w:ind w:left="5388" w:hanging="360"/>
      </w:pPr>
    </w:lvl>
    <w:lvl w:ilvl="7" w:tplc="44BC4C12">
      <w:start w:val="1"/>
      <w:numFmt w:val="lowerLetter"/>
      <w:lvlText w:val="%8."/>
      <w:lvlJc w:val="left"/>
      <w:pPr>
        <w:ind w:left="6108" w:hanging="360"/>
      </w:pPr>
    </w:lvl>
    <w:lvl w:ilvl="8" w:tplc="E408B9F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5E"/>
    <w:rsid w:val="0018369F"/>
    <w:rsid w:val="001E5ADB"/>
    <w:rsid w:val="0022110D"/>
    <w:rsid w:val="00223249"/>
    <w:rsid w:val="003835FE"/>
    <w:rsid w:val="00406A5E"/>
    <w:rsid w:val="00453A59"/>
    <w:rsid w:val="007C6856"/>
    <w:rsid w:val="00945575"/>
    <w:rsid w:val="00E57E78"/>
    <w:rsid w:val="00E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2B29"/>
  <w15:docId w15:val="{502A286A-40C9-456C-AB35-C99EE7A6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link w:val="12"/>
    <w:qFormat/>
    <w:rPr>
      <w:color w:val="0563C1" w:themeColor="hyperlink"/>
      <w:u w:val="single"/>
    </w:rPr>
  </w:style>
  <w:style w:type="paragraph" w:customStyle="1" w:styleId="12">
    <w:name w:val="Гиперссылка1"/>
    <w:basedOn w:val="13"/>
    <w:link w:val="af0"/>
    <w:qFormat/>
    <w:rPr>
      <w:color w:val="0563C1" w:themeColor="hyperlink"/>
      <w:u w:val="single"/>
    </w:rPr>
  </w:style>
  <w:style w:type="paragraph" w:customStyle="1" w:styleId="13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af1">
    <w:name w:val="Balloon Text"/>
    <w:basedOn w:val="a"/>
    <w:link w:val="af2"/>
    <w:qFormat/>
    <w:pPr>
      <w:spacing w:after="0" w:line="240" w:lineRule="auto"/>
    </w:pPr>
    <w:rPr>
      <w:rFonts w:ascii="Segoe UI" w:hAnsi="Segoe UI"/>
      <w:sz w:val="18"/>
    </w:rPr>
  </w:style>
  <w:style w:type="paragraph" w:styleId="af3">
    <w:name w:val="Plain Text"/>
    <w:basedOn w:val="a"/>
    <w:link w:val="af4"/>
    <w:qFormat/>
    <w:pPr>
      <w:spacing w:after="0" w:line="240" w:lineRule="auto"/>
    </w:pPr>
    <w:rPr>
      <w:rFonts w:ascii="Calibri" w:hAnsi="Calibri"/>
    </w:rPr>
  </w:style>
  <w:style w:type="paragraph" w:styleId="81">
    <w:name w:val="toc 8"/>
    <w:next w:val="a"/>
    <w:link w:val="82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f5">
    <w:name w:val="header"/>
    <w:basedOn w:val="a"/>
    <w:link w:val="af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4">
    <w:name w:val="toc 1"/>
    <w:next w:val="a"/>
    <w:link w:val="15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2">
    <w:name w:val="toc 3"/>
    <w:next w:val="a"/>
    <w:link w:val="33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4">
    <w:name w:val="toc 2"/>
    <w:next w:val="a"/>
    <w:link w:val="25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fb">
    <w:name w:val="Subtitle"/>
    <w:next w:val="a"/>
    <w:link w:val="afc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f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  <w:qFormat/>
  </w:style>
  <w:style w:type="character" w:customStyle="1" w:styleId="afa">
    <w:name w:val="Нижний колонтитул Знак"/>
    <w:basedOn w:val="16"/>
    <w:link w:val="af9"/>
    <w:qFormat/>
    <w:rPr>
      <w:rFonts w:ascii="Times New Roman" w:hAnsi="Times New Roman"/>
      <w:sz w:val="28"/>
    </w:rPr>
  </w:style>
  <w:style w:type="character" w:customStyle="1" w:styleId="25">
    <w:name w:val="Оглавление 2 Знак"/>
    <w:link w:val="24"/>
    <w:qFormat/>
    <w:rPr>
      <w:rFonts w:ascii="XO Thames" w:hAnsi="XO Thames"/>
      <w:sz w:val="28"/>
    </w:rPr>
  </w:style>
  <w:style w:type="character" w:customStyle="1" w:styleId="43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f6">
    <w:name w:val="Верхний колонтитул Знак"/>
    <w:basedOn w:val="16"/>
    <w:link w:val="af5"/>
    <w:uiPriority w:val="99"/>
    <w:qFormat/>
  </w:style>
  <w:style w:type="character" w:customStyle="1" w:styleId="af4">
    <w:name w:val="Текст Знак"/>
    <w:basedOn w:val="16"/>
    <w:link w:val="af3"/>
    <w:qFormat/>
    <w:rPr>
      <w:rFonts w:ascii="Calibri" w:hAnsi="Calibri"/>
    </w:rPr>
  </w:style>
  <w:style w:type="character" w:customStyle="1" w:styleId="33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character" w:customStyle="1" w:styleId="82">
    <w:name w:val="Оглавление 8 Знак"/>
    <w:link w:val="81"/>
    <w:qFormat/>
    <w:rPr>
      <w:rFonts w:ascii="XO Thames" w:hAnsi="XO Thames"/>
      <w:sz w:val="28"/>
    </w:rPr>
  </w:style>
  <w:style w:type="character" w:customStyle="1" w:styleId="53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2">
    <w:name w:val="Текст выноски Знак"/>
    <w:basedOn w:val="16"/>
    <w:link w:val="af1"/>
    <w:qFormat/>
    <w:rPr>
      <w:rFonts w:ascii="Segoe UI" w:hAnsi="Segoe UI"/>
      <w:sz w:val="18"/>
    </w:rPr>
  </w:style>
  <w:style w:type="character" w:customStyle="1" w:styleId="afc">
    <w:name w:val="Подзаголовок Знак"/>
    <w:link w:val="afb"/>
    <w:qFormat/>
    <w:rPr>
      <w:rFonts w:ascii="XO Thames" w:hAnsi="XO Thames"/>
      <w:i/>
      <w:sz w:val="24"/>
    </w:rPr>
  </w:style>
  <w:style w:type="character" w:customStyle="1" w:styleId="af8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table" w:customStyle="1" w:styleId="26">
    <w:name w:val="Сетка таблицы2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Ковалёва Наталья Владимировна</cp:lastModifiedBy>
  <cp:revision>7</cp:revision>
  <dcterms:created xsi:type="dcterms:W3CDTF">2026-03-09T23:41:00Z</dcterms:created>
  <dcterms:modified xsi:type="dcterms:W3CDTF">2026-03-10T03:58:00Z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9992E235F2584088802C92C924E06DC3_13</vt:lpwstr>
  </property>
</Properties>
</file>