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1327FE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1327FE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proofErr w:type="spellStart"/>
            <w:r w:rsidR="001327FE">
              <w:rPr>
                <w:rFonts w:ascii="Times New Roman" w:hAnsi="Times New Roman"/>
                <w:b/>
                <w:sz w:val="28"/>
              </w:rPr>
              <w:t>Елизовского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2727" w:rsidRDefault="00C748C8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6F6C">
        <w:rPr>
          <w:rFonts w:ascii="Times New Roman" w:hAnsi="Times New Roman"/>
          <w:spacing w:val="-4"/>
          <w:sz w:val="28"/>
        </w:rPr>
        <w:t>Учитывая протест Камчатской межрайонной природоохранной прокуратуры от 04.02.2026 № 7-2-2026/Прдп4</w:t>
      </w:r>
      <w:r w:rsidR="001327FE">
        <w:rPr>
          <w:rFonts w:ascii="Times New Roman" w:hAnsi="Times New Roman"/>
          <w:spacing w:val="-4"/>
          <w:sz w:val="28"/>
        </w:rPr>
        <w:t>3</w:t>
      </w:r>
      <w:r w:rsidRPr="007C6F6C">
        <w:rPr>
          <w:rFonts w:ascii="Times New Roman" w:hAnsi="Times New Roman"/>
          <w:spacing w:val="-4"/>
          <w:sz w:val="28"/>
        </w:rPr>
        <w:t>-26-20300003</w:t>
      </w:r>
      <w:r w:rsidR="007C6F6C" w:rsidRPr="007C6F6C">
        <w:rPr>
          <w:rFonts w:ascii="Times New Roman" w:hAnsi="Times New Roman"/>
          <w:spacing w:val="-4"/>
          <w:sz w:val="28"/>
        </w:rPr>
        <w:t xml:space="preserve">, в соответствии с пунктом </w:t>
      </w:r>
      <w:r w:rsidR="007C6F6C" w:rsidRPr="006D7770">
        <w:rPr>
          <w:rFonts w:ascii="Times New Roman" w:hAnsi="Times New Roman"/>
          <w:spacing w:val="-4"/>
          <w:sz w:val="28"/>
        </w:rPr>
        <w:t>25</w:t>
      </w:r>
      <w:r w:rsidR="007C6F6C" w:rsidRPr="006D7770">
        <w:rPr>
          <w:rFonts w:ascii="Times New Roman" w:hAnsi="Times New Roman"/>
          <w:spacing w:val="-4"/>
          <w:sz w:val="28"/>
          <w:vertAlign w:val="superscript"/>
        </w:rPr>
        <w:t>1</w:t>
      </w:r>
      <w:r w:rsidR="007C6F6C" w:rsidRPr="007C6F6C">
        <w:rPr>
          <w:rFonts w:ascii="Times New Roman" w:hAnsi="Times New Roman"/>
          <w:spacing w:val="-4"/>
          <w:sz w:val="28"/>
        </w:rPr>
        <w:t xml:space="preserve"> Положения о Министерстве лесного и охотничьего хозяйства Камчатского края, утвержденного постановлением Правительства </w:t>
      </w:r>
      <w:r w:rsidR="007C6F6C">
        <w:rPr>
          <w:rFonts w:ascii="Times New Roman" w:hAnsi="Times New Roman"/>
          <w:spacing w:val="-4"/>
          <w:sz w:val="28"/>
        </w:rPr>
        <w:t>Камчатского края от 14.05.2024</w:t>
      </w:r>
      <w:r w:rsidR="007C6F6C">
        <w:rPr>
          <w:rFonts w:ascii="Times New Roman" w:hAnsi="Times New Roman"/>
          <w:spacing w:val="-4"/>
          <w:sz w:val="28"/>
        </w:rPr>
        <w:br/>
      </w:r>
      <w:r w:rsidR="007C6F6C" w:rsidRPr="007C6F6C">
        <w:rPr>
          <w:rFonts w:ascii="Times New Roman" w:hAnsi="Times New Roman"/>
          <w:spacing w:val="-4"/>
          <w:sz w:val="28"/>
        </w:rPr>
        <w:t xml:space="preserve">№ 223-П, </w:t>
      </w:r>
      <w:r w:rsidRPr="007C6F6C">
        <w:rPr>
          <w:rFonts w:ascii="Times New Roman" w:hAnsi="Times New Roman"/>
          <w:spacing w:val="-4"/>
          <w:sz w:val="28"/>
        </w:rPr>
        <w:t>пунктом 2 части 16 Состава лес</w:t>
      </w:r>
      <w:r w:rsidR="002238D9">
        <w:rPr>
          <w:rFonts w:ascii="Times New Roman" w:hAnsi="Times New Roman"/>
          <w:spacing w:val="-4"/>
          <w:sz w:val="28"/>
        </w:rPr>
        <w:t>о</w:t>
      </w:r>
      <w:r w:rsidRPr="007C6F6C">
        <w:rPr>
          <w:rFonts w:ascii="Times New Roman" w:hAnsi="Times New Roman"/>
          <w:spacing w:val="-4"/>
          <w:sz w:val="28"/>
        </w:rPr>
        <w:t>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</w:t>
      </w:r>
      <w:r w:rsidR="00A32727">
        <w:rPr>
          <w:rFonts w:ascii="Times New Roman" w:hAnsi="Times New Roman"/>
          <w:spacing w:val="-4"/>
          <w:sz w:val="28"/>
        </w:rPr>
        <w:t xml:space="preserve">, </w:t>
      </w:r>
      <w:r w:rsidR="006D7770">
        <w:rPr>
          <w:rFonts w:ascii="Times New Roman" w:hAnsi="Times New Roman"/>
          <w:spacing w:val="-4"/>
          <w:sz w:val="28"/>
        </w:rPr>
        <w:t>обращени</w:t>
      </w:r>
      <w:r w:rsidR="001327FE">
        <w:rPr>
          <w:rFonts w:ascii="Times New Roman" w:hAnsi="Times New Roman"/>
          <w:spacing w:val="-4"/>
          <w:sz w:val="28"/>
        </w:rPr>
        <w:t>ем</w:t>
      </w:r>
      <w:r w:rsidR="006D7770">
        <w:rPr>
          <w:rFonts w:ascii="Times New Roman" w:hAnsi="Times New Roman"/>
          <w:spacing w:val="-4"/>
          <w:sz w:val="28"/>
        </w:rPr>
        <w:t xml:space="preserve"> КГКУ «Камчатские лесничества» от 05.08.2025 № 260/262 </w:t>
      </w:r>
    </w:p>
    <w:p w:rsidR="001327FE" w:rsidRDefault="001327FE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1327F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-пр «Об утверждении лесохозяйственного регламента</w:t>
      </w:r>
      <w:r w:rsidR="0045652A">
        <w:rPr>
          <w:rFonts w:ascii="Times New Roman" w:hAnsi="Times New Roman"/>
          <w:sz w:val="28"/>
        </w:rPr>
        <w:t xml:space="preserve"> </w:t>
      </w:r>
      <w:proofErr w:type="spellStart"/>
      <w:r w:rsidR="001327FE">
        <w:rPr>
          <w:rFonts w:ascii="Times New Roman" w:hAnsi="Times New Roman"/>
          <w:sz w:val="28"/>
        </w:rPr>
        <w:t>Елизовского</w:t>
      </w:r>
      <w:proofErr w:type="spellEnd"/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0D47F3" w:rsidTr="00A32727">
        <w:trPr>
          <w:trHeight w:val="752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Камчатского края от 29.05.2020 № 37</w:t>
      </w:r>
      <w:r w:rsidR="001327F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1327FE">
        <w:rPr>
          <w:rFonts w:ascii="Times New Roman" w:hAnsi="Times New Roman"/>
          <w:sz w:val="28"/>
        </w:rPr>
        <w:t>Елизовского</w:t>
      </w:r>
      <w:proofErr w:type="spellEnd"/>
      <w:r>
        <w:rPr>
          <w:rFonts w:ascii="Times New Roman" w:hAnsi="Times New Roman"/>
          <w:sz w:val="28"/>
        </w:rPr>
        <w:t xml:space="preserve"> 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382F93">
        <w:rPr>
          <w:rFonts w:ascii="Times New Roman" w:hAnsi="Times New Roman"/>
          <w:sz w:val="28"/>
        </w:rPr>
        <w:t xml:space="preserve">В </w:t>
      </w:r>
      <w:r w:rsidR="006B4DDD">
        <w:rPr>
          <w:rFonts w:ascii="Times New Roman" w:hAnsi="Times New Roman"/>
          <w:sz w:val="28"/>
        </w:rPr>
        <w:t>подразделе Введения «</w:t>
      </w:r>
      <w:r w:rsidR="00382F93">
        <w:rPr>
          <w:rFonts w:ascii="Times New Roman" w:hAnsi="Times New Roman"/>
          <w:sz w:val="28"/>
        </w:rPr>
        <w:t>Переч</w:t>
      </w:r>
      <w:r w:rsidR="006B4DDD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6B4DDD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7C6F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 пункт</w:t>
      </w:r>
      <w:r w:rsidR="00A355AC">
        <w:rPr>
          <w:rFonts w:ascii="Times New Roman" w:hAnsi="Times New Roman"/>
          <w:sz w:val="28"/>
        </w:rPr>
        <w:t> 32 </w:t>
      </w:r>
      <w:r w:rsidR="00382F93" w:rsidRPr="00D81B84">
        <w:rPr>
          <w:rFonts w:ascii="Times New Roman" w:hAnsi="Times New Roman"/>
          <w:sz w:val="28"/>
        </w:rPr>
        <w:t>изложить</w:t>
      </w:r>
      <w:r w:rsidR="00A355AC">
        <w:rPr>
          <w:rFonts w:ascii="Times New Roman" w:hAnsi="Times New Roman"/>
          <w:sz w:val="28"/>
        </w:rPr>
        <w:t> в </w:t>
      </w:r>
      <w:r w:rsidR="00A355AC" w:rsidRPr="00A355AC">
        <w:rPr>
          <w:rFonts w:ascii="Times New Roman" w:hAnsi="Times New Roman"/>
          <w:sz w:val="28"/>
          <w:szCs w:val="28"/>
        </w:rPr>
        <w:t>с</w:t>
      </w:r>
      <w:r w:rsidR="00382F93" w:rsidRPr="00D81B84">
        <w:rPr>
          <w:rFonts w:ascii="Times New Roman" w:hAnsi="Times New Roman"/>
          <w:sz w:val="28"/>
        </w:rPr>
        <w:t>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D144BD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>14) пункт 99</w:t>
      </w:r>
      <w:r w:rsidR="00382F93">
        <w:rPr>
          <w:rFonts w:ascii="Times New Roman" w:hAnsi="Times New Roman"/>
          <w:sz w:val="28"/>
        </w:rPr>
        <w:t xml:space="preserve">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</w:t>
      </w:r>
      <w:r w:rsidR="006B4DDD">
        <w:rPr>
          <w:rFonts w:ascii="Times New Roman" w:hAnsi="Times New Roman"/>
          <w:sz w:val="28"/>
        </w:rPr>
        <w:t>тридцатый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074BBE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1327FE">
        <w:rPr>
          <w:rFonts w:ascii="Times New Roman" w:hAnsi="Times New Roman"/>
          <w:sz w:val="28"/>
        </w:rPr>
        <w:t xml:space="preserve">таблицы 7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</w:t>
      </w:r>
      <w:r w:rsidRPr="00C16FDC">
        <w:rPr>
          <w:rFonts w:ascii="Times New Roman" w:hAnsi="Times New Roman"/>
          <w:sz w:val="28"/>
        </w:rPr>
        <w:lastRenderedPageBreak/>
        <w:t>размещение водохранилищ и иных искусственных водных объектов, создание и расширение территорий морских и речных портов</w:t>
      </w:r>
      <w:r w:rsidR="00D81B84"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lastRenderedPageBreak/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лось,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lastRenderedPageBreak/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К </w:t>
      </w:r>
      <w:r w:rsidR="00010DEA" w:rsidRPr="00491ADB">
        <w:rPr>
          <w:rFonts w:ascii="Times New Roman" w:hAnsi="Times New Roman"/>
          <w:sz w:val="28"/>
          <w:szCs w:val="28"/>
        </w:rPr>
        <w:t>охотничье-промысловым видам отнесено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491ADB">
        <w:rPr>
          <w:rFonts w:ascii="Times New Roman" w:hAnsi="Times New Roman"/>
          <w:sz w:val="28"/>
          <w:szCs w:val="28"/>
        </w:rPr>
        <w:t xml:space="preserve">32 вида птиц.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6D7770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074BBE" w:rsidRPr="00010DEA">
        <w:rPr>
          <w:rFonts w:ascii="Times New Roman" w:hAnsi="Times New Roman"/>
          <w:sz w:val="28"/>
          <w:szCs w:val="28"/>
        </w:rPr>
        <w:t>проведения биотехнических мероприятий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4BBE" w:rsidRPr="00010DEA">
        <w:rPr>
          <w:rFonts w:ascii="Times New Roman" w:hAnsi="Times New Roman"/>
          <w:sz w:val="28"/>
          <w:szCs w:val="28"/>
        </w:rPr>
        <w:t>охотничьих хозяйствах регламентируется приказом Минприроды России от 17.03.2025</w:t>
      </w:r>
      <w:r w:rsidR="00074BBE"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 w:rsidR="00821244">
        <w:rPr>
          <w:sz w:val="28"/>
        </w:rPr>
        <w:t>21</w:t>
      </w:r>
      <w:r w:rsidRPr="00821244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</w:t>
      </w:r>
      <w:r w:rsidRPr="00CD08B6">
        <w:rPr>
          <w:rFonts w:ascii="Times New Roman" w:hAnsi="Times New Roman"/>
          <w:sz w:val="28"/>
        </w:rPr>
        <w:lastRenderedPageBreak/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821244"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</w:t>
      </w:r>
      <w:r w:rsidRPr="00821244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гидротехнических сооружений допускается 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 и зеленых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</w:t>
      </w:r>
      <w:r w:rsidR="00A355AC">
        <w:rPr>
          <w:rFonts w:ascii="Times New Roman" w:hAnsi="Times New Roman"/>
          <w:sz w:val="28"/>
          <w:szCs w:val="28"/>
        </w:rPr>
        <w:t xml:space="preserve">четвертом </w:t>
      </w:r>
      <w:r>
        <w:rPr>
          <w:rFonts w:ascii="Times New Roman" w:hAnsi="Times New Roman"/>
          <w:sz w:val="28"/>
          <w:szCs w:val="28"/>
        </w:rPr>
        <w:t>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абзацы шестьдесят </w:t>
      </w:r>
      <w:r w:rsidR="001327FE">
        <w:rPr>
          <w:rFonts w:ascii="Times New Roman" w:hAnsi="Times New Roman"/>
          <w:color w:val="000001"/>
          <w:sz w:val="28"/>
          <w:szCs w:val="28"/>
        </w:rPr>
        <w:t xml:space="preserve">третий–шестьдесят четвертый 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исключить;</w:t>
      </w:r>
    </w:p>
    <w:p w:rsidR="00C05B5D" w:rsidRPr="00074BBE" w:rsidRDefault="001327FE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в) таблицу 42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Default="00C05B5D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г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в подразделе «Мониторинг пожарной опасности в лесах» </w:t>
      </w:r>
      <w:r w:rsidR="006B4DDD">
        <w:rPr>
          <w:rFonts w:ascii="Times New Roman" w:hAnsi="Times New Roman"/>
          <w:color w:val="000001"/>
          <w:sz w:val="28"/>
          <w:szCs w:val="28"/>
        </w:rPr>
        <w:t>подпункт 3 пункта 1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5652A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от 09.03.2017 № </w:t>
      </w:r>
      <w:bookmarkStart w:id="5" w:name="_GoBack"/>
      <w:r w:rsidR="00074BBE" w:rsidRPr="00074BBE">
        <w:rPr>
          <w:rFonts w:ascii="Times New Roman" w:hAnsi="Times New Roman"/>
          <w:color w:val="000001"/>
          <w:sz w:val="28"/>
          <w:szCs w:val="28"/>
        </w:rPr>
        <w:t>78</w:t>
      </w:r>
      <w:bookmarkEnd w:id="5"/>
      <w:r w:rsidR="0045652A">
        <w:rPr>
          <w:rFonts w:ascii="Times New Roman" w:hAnsi="Times New Roman"/>
          <w:color w:val="000001"/>
          <w:sz w:val="28"/>
          <w:szCs w:val="28"/>
        </w:rPr>
        <w:t>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</w:t>
      </w:r>
      <w:r w:rsidR="007D05E1">
        <w:rPr>
          <w:rFonts w:ascii="Times New Roman" w:hAnsi="Times New Roman"/>
          <w:sz w:val="28"/>
        </w:rPr>
        <w:t>етвертый</w:t>
      </w:r>
      <w:r w:rsidR="004B10EF">
        <w:rPr>
          <w:rFonts w:ascii="Times New Roman" w:hAnsi="Times New Roman"/>
          <w:sz w:val="28"/>
        </w:rPr>
        <w:t xml:space="preserve">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>абзацы десятый–четырнадцатый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D7770">
        <w:rPr>
          <w:rFonts w:ascii="Times New Roman" w:hAnsi="Times New Roman"/>
          <w:sz w:val="28"/>
          <w:szCs w:val="28"/>
        </w:rPr>
        <w:t xml:space="preserve">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Pr="006D7770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831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4B10EF" w:rsidRPr="000F4831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в) </w:t>
      </w:r>
      <w:r w:rsidR="004B10EF" w:rsidRPr="000F4831">
        <w:rPr>
          <w:rFonts w:ascii="Times New Roman" w:hAnsi="Times New Roman"/>
          <w:sz w:val="28"/>
          <w:szCs w:val="28"/>
        </w:rPr>
        <w:t xml:space="preserve">абзацы пятьдесят </w:t>
      </w:r>
      <w:r w:rsidR="0045652A">
        <w:rPr>
          <w:rFonts w:ascii="Times New Roman" w:hAnsi="Times New Roman"/>
          <w:sz w:val="28"/>
          <w:szCs w:val="28"/>
        </w:rPr>
        <w:t>восьмой и пятьдесят девятый</w:t>
      </w:r>
      <w:r w:rsidR="004B10EF" w:rsidRPr="000F4831">
        <w:rPr>
          <w:rFonts w:ascii="Times New Roman" w:hAnsi="Times New Roman"/>
          <w:sz w:val="28"/>
          <w:szCs w:val="28"/>
        </w:rPr>
        <w:t xml:space="preserve">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="006D7770" w:rsidRPr="006D7770">
        <w:rPr>
          <w:rFonts w:ascii="Times New Roman" w:hAnsi="Times New Roman"/>
          <w:sz w:val="28"/>
          <w:szCs w:val="28"/>
          <w:vertAlign w:val="superscript"/>
        </w:rPr>
        <w:t>5</w:t>
      </w:r>
      <w:r w:rsidR="006D7770">
        <w:rPr>
          <w:rFonts w:ascii="Times New Roman" w:hAnsi="Times New Roman"/>
          <w:sz w:val="28"/>
          <w:szCs w:val="28"/>
        </w:rPr>
        <w:t xml:space="preserve"> ЛК </w:t>
      </w:r>
      <w:r w:rsidRPr="000F4831">
        <w:rPr>
          <w:rFonts w:ascii="Times New Roman" w:hAnsi="Times New Roman"/>
          <w:sz w:val="28"/>
          <w:szCs w:val="28"/>
        </w:rPr>
        <w:t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5652A">
        <w:rPr>
          <w:rFonts w:ascii="Times New Roman" w:hAnsi="Times New Roman"/>
          <w:sz w:val="28"/>
          <w:szCs w:val="28"/>
        </w:rPr>
        <w:t xml:space="preserve">после абзаца шестьдесят третьего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2804">
        <w:rPr>
          <w:rFonts w:ascii="Times New Roman" w:hAnsi="Times New Roman"/>
          <w:sz w:val="28"/>
          <w:szCs w:val="28"/>
        </w:rPr>
        <w:t xml:space="preserve">При проведении натурных обследований в целях отнесения земель, предназначенных для </w:t>
      </w:r>
      <w:proofErr w:type="spellStart"/>
      <w:r w:rsidRPr="00EE2804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EE2804">
        <w:rPr>
          <w:rFonts w:ascii="Times New Roman" w:hAnsi="Times New Roman"/>
          <w:sz w:val="28"/>
          <w:szCs w:val="28"/>
        </w:rPr>
        <w:t>, к землям, на которых расположены</w:t>
      </w:r>
      <w:r w:rsidR="006D7770">
        <w:rPr>
          <w:rFonts w:ascii="Times New Roman" w:hAnsi="Times New Roman"/>
          <w:sz w:val="28"/>
          <w:szCs w:val="28"/>
        </w:rPr>
        <w:t xml:space="preserve"> леса, в соответствии с Порядком, утвержде</w:t>
      </w:r>
      <w:r w:rsidRPr="00EE2804">
        <w:rPr>
          <w:rFonts w:ascii="Times New Roman" w:hAnsi="Times New Roman"/>
          <w:sz w:val="28"/>
          <w:szCs w:val="28"/>
        </w:rPr>
        <w:t>нным приказом Минприроды России от 11.03.2019</w:t>
      </w:r>
      <w:r w:rsidR="006D7770">
        <w:rPr>
          <w:rFonts w:ascii="Times New Roman" w:hAnsi="Times New Roman"/>
          <w:sz w:val="28"/>
          <w:szCs w:val="28"/>
        </w:rPr>
        <w:t xml:space="preserve"> </w:t>
      </w:r>
      <w:r w:rsidRPr="00EE2804">
        <w:rPr>
          <w:rFonts w:ascii="Times New Roman" w:hAnsi="Times New Roman"/>
          <w:sz w:val="28"/>
          <w:szCs w:val="28"/>
        </w:rPr>
        <w:t>№ 150, в смешанных насаждениях применяется критерий для главной породы по суммарному количеству деревьев всех основных пород на площади.»</w:t>
      </w:r>
      <w:r w:rsidR="0045652A">
        <w:rPr>
          <w:rFonts w:ascii="Times New Roman" w:hAnsi="Times New Roman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>таблице 5</w:t>
      </w:r>
      <w:r w:rsidR="0045652A">
        <w:rPr>
          <w:rFonts w:ascii="Times New Roman" w:hAnsi="Times New Roman"/>
          <w:sz w:val="28"/>
          <w:szCs w:val="28"/>
        </w:rPr>
        <w:t>6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F33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797"/>
      </w:tblGrid>
      <w:tr w:rsidR="00271277" w:rsidRPr="00AB4151" w:rsidTr="006D7770">
        <w:trPr>
          <w:cantSplit/>
          <w:trHeight w:val="4669"/>
          <w:jc w:val="center"/>
        </w:trPr>
        <w:tc>
          <w:tcPr>
            <w:tcW w:w="1693" w:type="dxa"/>
          </w:tcPr>
          <w:p w:rsidR="00271277" w:rsidRPr="00AB4151" w:rsidRDefault="00271277" w:rsidP="006D77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lastRenderedPageBreak/>
              <w:t>О</w:t>
            </w:r>
            <w:r w:rsidR="006D7770">
              <w:rPr>
                <w:rFonts w:ascii="Times New Roman" w:hAnsi="Times New Roman"/>
                <w:szCs w:val="22"/>
              </w:rPr>
              <w:t>существление видов деятельности</w:t>
            </w:r>
            <w:r w:rsidR="006D7770">
              <w:rPr>
                <w:rFonts w:ascii="Times New Roman" w:hAnsi="Times New Roman"/>
                <w:szCs w:val="22"/>
              </w:rPr>
              <w:br/>
            </w:r>
            <w:r w:rsidRPr="00AB4151">
              <w:rPr>
                <w:rFonts w:ascii="Times New Roman" w:hAnsi="Times New Roman"/>
                <w:szCs w:val="22"/>
              </w:rPr>
              <w:t>в сфере охотничьего хозяйства</w:t>
            </w:r>
          </w:p>
        </w:tc>
        <w:tc>
          <w:tcPr>
            <w:tcW w:w="7797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4764B6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 w:rsidSect="006D7770">
      <w:headerReference w:type="default" r:id="rId8"/>
      <w:pgSz w:w="11906" w:h="16838"/>
      <w:pgMar w:top="1134" w:right="851" w:bottom="1134" w:left="1418" w:header="68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FD" w:rsidRDefault="001F37FD">
      <w:pPr>
        <w:spacing w:after="0" w:line="240" w:lineRule="auto"/>
      </w:pPr>
      <w:r>
        <w:separator/>
      </w:r>
    </w:p>
  </w:endnote>
  <w:endnote w:type="continuationSeparator" w:id="0">
    <w:p w:rsidR="001F37FD" w:rsidRDefault="001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FD" w:rsidRDefault="001F37FD">
      <w:pPr>
        <w:spacing w:after="0" w:line="240" w:lineRule="auto"/>
      </w:pPr>
      <w:r>
        <w:separator/>
      </w:r>
    </w:p>
  </w:footnote>
  <w:footnote w:type="continuationSeparator" w:id="0">
    <w:p w:rsidR="001F37FD" w:rsidRDefault="001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5457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D7770" w:rsidRPr="006D7770" w:rsidRDefault="006D777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6D7770">
          <w:rPr>
            <w:rFonts w:ascii="Times New Roman" w:hAnsi="Times New Roman"/>
            <w:sz w:val="28"/>
            <w:szCs w:val="28"/>
          </w:rPr>
          <w:fldChar w:fldCharType="begin"/>
        </w:r>
        <w:r w:rsidRPr="006D77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D7770">
          <w:rPr>
            <w:rFonts w:ascii="Times New Roman" w:hAnsi="Times New Roman"/>
            <w:sz w:val="28"/>
            <w:szCs w:val="28"/>
          </w:rPr>
          <w:fldChar w:fldCharType="separate"/>
        </w:r>
        <w:r w:rsidR="00821244">
          <w:rPr>
            <w:rFonts w:ascii="Times New Roman" w:hAnsi="Times New Roman"/>
            <w:noProof/>
            <w:sz w:val="28"/>
            <w:szCs w:val="28"/>
          </w:rPr>
          <w:t>11</w:t>
        </w:r>
        <w:r w:rsidRPr="006D77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74BBE"/>
    <w:rsid w:val="000D47F3"/>
    <w:rsid w:val="000F4831"/>
    <w:rsid w:val="001015A5"/>
    <w:rsid w:val="001327FE"/>
    <w:rsid w:val="001C6B7D"/>
    <w:rsid w:val="001F37FD"/>
    <w:rsid w:val="002056AB"/>
    <w:rsid w:val="002238D9"/>
    <w:rsid w:val="00271277"/>
    <w:rsid w:val="002F7C76"/>
    <w:rsid w:val="003460A1"/>
    <w:rsid w:val="00357A26"/>
    <w:rsid w:val="00382F93"/>
    <w:rsid w:val="00394D8B"/>
    <w:rsid w:val="003C61C1"/>
    <w:rsid w:val="0044599E"/>
    <w:rsid w:val="0045652A"/>
    <w:rsid w:val="004764B6"/>
    <w:rsid w:val="0048225E"/>
    <w:rsid w:val="00483E76"/>
    <w:rsid w:val="00491ADB"/>
    <w:rsid w:val="004B10EF"/>
    <w:rsid w:val="004B7887"/>
    <w:rsid w:val="006A41CC"/>
    <w:rsid w:val="006B26F5"/>
    <w:rsid w:val="006B4DDD"/>
    <w:rsid w:val="006D7770"/>
    <w:rsid w:val="007204B8"/>
    <w:rsid w:val="007B75A4"/>
    <w:rsid w:val="007C6F6C"/>
    <w:rsid w:val="007D05E1"/>
    <w:rsid w:val="00806D15"/>
    <w:rsid w:val="00821244"/>
    <w:rsid w:val="008B2538"/>
    <w:rsid w:val="00913CAA"/>
    <w:rsid w:val="009C7504"/>
    <w:rsid w:val="00A04D49"/>
    <w:rsid w:val="00A32727"/>
    <w:rsid w:val="00A3461D"/>
    <w:rsid w:val="00A355AC"/>
    <w:rsid w:val="00A4091C"/>
    <w:rsid w:val="00A754CD"/>
    <w:rsid w:val="00AB4151"/>
    <w:rsid w:val="00BB6B45"/>
    <w:rsid w:val="00BE1AEB"/>
    <w:rsid w:val="00BE7098"/>
    <w:rsid w:val="00C05B5D"/>
    <w:rsid w:val="00C16FDC"/>
    <w:rsid w:val="00C748C8"/>
    <w:rsid w:val="00CD08B6"/>
    <w:rsid w:val="00CE4B3F"/>
    <w:rsid w:val="00D144BD"/>
    <w:rsid w:val="00D81B84"/>
    <w:rsid w:val="00DB008C"/>
    <w:rsid w:val="00DB4A7B"/>
    <w:rsid w:val="00DE3363"/>
    <w:rsid w:val="00E124DD"/>
    <w:rsid w:val="00EE2804"/>
    <w:rsid w:val="00F33088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6CEE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1</Pages>
  <Words>3784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23</cp:revision>
  <dcterms:created xsi:type="dcterms:W3CDTF">2025-11-18T06:04:00Z</dcterms:created>
  <dcterms:modified xsi:type="dcterms:W3CDTF">2026-03-09T09:25:00Z</dcterms:modified>
</cp:coreProperties>
</file>