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spacing w:after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3000000">
      <w:pPr>
        <w:spacing w:after="0" w:line="360" w:lineRule="auto"/>
        <w:ind/>
        <w:jc w:val="center"/>
        <w:rPr>
          <w:rFonts w:ascii="Times New Roman" w:hAnsi="Times New Roman"/>
          <w:sz w:val="32"/>
        </w:rPr>
      </w:pPr>
    </w:p>
    <w:p w14:paraId="04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5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06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 О С Т А Н О В Л Е Н И Е</w:t>
      </w: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ПРАВИТЕЛЬСТВА</w:t>
      </w: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0A000000">
      <w:pPr>
        <w:spacing w:after="0" w:line="240" w:lineRule="auto"/>
        <w:ind w:firstLine="709" w:left="0"/>
        <w:jc w:val="center"/>
        <w:rPr>
          <w:rFonts w:ascii="Times New Roman" w:hAnsi="Times New Roman"/>
          <w:sz w:val="20"/>
        </w:rPr>
      </w:pPr>
    </w:p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427"/>
        </w:trPr>
        <w:tc>
          <w:tcPr>
            <w:tcW w:type="dxa" w:w="4253"/>
            <w:tcBorders>
              <w:top w:sz="4" w:val="nil"/>
              <w:left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B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Borders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D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0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2"/>
        <w:tblInd w:type="dxa" w:w="-142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9749"/>
      </w:tblGrid>
      <w:tr>
        <w:tc>
          <w:tcPr>
            <w:tcW w:type="dxa" w:w="9749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0F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О единовременной выплате отдельным категориям граждан, проживающим в Камчатском крае, в связи с 40-й годовщиной </w:t>
            </w:r>
            <w:r>
              <w:rPr>
                <w:rFonts w:ascii="Times New Roman" w:hAnsi="Times New Roman"/>
                <w:b w:val="1"/>
                <w:sz w:val="28"/>
              </w:rPr>
              <w:t>ликвидации последствий радиационных аварий и катастроф и памяти жертв этих аварий и катастроф</w:t>
            </w:r>
          </w:p>
        </w:tc>
      </w:tr>
    </w:tbl>
    <w:p w14:paraId="1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1000000">
      <w:pPr>
        <w:spacing w:after="0" w:line="240" w:lineRule="auto"/>
        <w:ind w:firstLine="709" w:left="0"/>
        <w:jc w:val="both"/>
        <w:rPr>
          <w:b w:val="0"/>
        </w:rPr>
      </w:pPr>
      <w:r>
        <w:rPr>
          <w:rFonts w:ascii="Times New Roman" w:hAnsi="Times New Roman"/>
          <w:sz w:val="28"/>
        </w:rPr>
        <w:t>В с</w:t>
      </w:r>
      <w:r>
        <w:rPr>
          <w:rFonts w:ascii="Times New Roman" w:hAnsi="Times New Roman"/>
          <w:b w:val="0"/>
          <w:sz w:val="28"/>
        </w:rPr>
        <w:t xml:space="preserve">оответствии с частью 3 статьи 48 Федерального закона от 21.12.2021 </w:t>
      </w:r>
      <w:r>
        <w:rPr>
          <w:rFonts w:ascii="Times New Roman" w:hAnsi="Times New Roman"/>
          <w:b w:val="0"/>
          <w:sz w:val="28"/>
        </w:rPr>
        <w:br/>
      </w:r>
      <w:r>
        <w:rPr>
          <w:rFonts w:ascii="Times New Roman" w:hAnsi="Times New Roman"/>
          <w:b w:val="0"/>
          <w:sz w:val="28"/>
        </w:rPr>
        <w:t xml:space="preserve">№ 414-ФЗ «Об </w:t>
      </w:r>
      <w:r>
        <w:rPr>
          <w:rFonts w:ascii="Times New Roman" w:hAnsi="Times New Roman"/>
          <w:b w:val="0"/>
          <w:sz w:val="28"/>
        </w:rPr>
        <w:t>общих при</w:t>
      </w:r>
      <w:r>
        <w:rPr>
          <w:rFonts w:ascii="Times New Roman" w:hAnsi="Times New Roman"/>
          <w:b w:val="0"/>
          <w:sz w:val="28"/>
        </w:rPr>
        <w:t>нципах организации публичной власти в субъектах Российской Федерации»</w:t>
      </w:r>
      <w:r>
        <w:rPr>
          <w:rFonts w:ascii="Times New Roman" w:hAnsi="Times New Roman"/>
          <w:b w:val="0"/>
          <w:sz w:val="28"/>
        </w:rPr>
        <w:t xml:space="preserve">, </w:t>
      </w:r>
      <w:r>
        <w:rPr>
          <w:rFonts w:ascii="Times New Roman" w:hAnsi="Times New Roman"/>
          <w:b w:val="0"/>
          <w:sz w:val="28"/>
        </w:rPr>
        <w:t xml:space="preserve">в связи с </w:t>
      </w:r>
      <w:r>
        <w:rPr>
          <w:rFonts w:ascii="Times New Roman" w:hAnsi="Times New Roman"/>
          <w:b w:val="0"/>
          <w:sz w:val="28"/>
        </w:rPr>
        <w:t xml:space="preserve">40-й годовщиной </w:t>
      </w:r>
      <w:r>
        <w:rPr>
          <w:rFonts w:ascii="Times New Roman" w:hAnsi="Times New Roman"/>
          <w:b w:val="0"/>
          <w:sz w:val="28"/>
        </w:rPr>
        <w:t>ликвидации последствий радиационных аварий и катастроф и памяти жертв этих аварий и катастроф</w:t>
      </w:r>
    </w:p>
    <w:p w14:paraId="1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14:paraId="1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В связи </w:t>
      </w:r>
      <w:r>
        <w:rPr>
          <w:rFonts w:ascii="Times New Roman" w:hAnsi="Times New Roman"/>
          <w:b w:val="0"/>
          <w:sz w:val="28"/>
        </w:rPr>
        <w:t xml:space="preserve">с </w:t>
      </w:r>
      <w:r>
        <w:rPr>
          <w:rFonts w:ascii="Times New Roman" w:hAnsi="Times New Roman"/>
          <w:b w:val="0"/>
          <w:sz w:val="28"/>
        </w:rPr>
        <w:t xml:space="preserve">40-й годовщиной </w:t>
      </w:r>
      <w:r>
        <w:rPr>
          <w:rFonts w:ascii="Times New Roman" w:hAnsi="Times New Roman"/>
          <w:b w:val="0"/>
          <w:sz w:val="28"/>
        </w:rPr>
        <w:t>ликвидации последствий радиационных аварий и катастроф и памяти жертв этих аварий и катастроф</w:t>
      </w:r>
      <w:r>
        <w:rPr>
          <w:rFonts w:ascii="Times New Roman" w:hAnsi="Times New Roman"/>
          <w:sz w:val="28"/>
        </w:rPr>
        <w:t xml:space="preserve"> предоставить в 2026 году единовременную денежную выплату в</w:t>
      </w:r>
      <w:r>
        <w:rPr>
          <w:rFonts w:ascii="Times New Roman" w:hAnsi="Times New Roman"/>
          <w:sz w:val="28"/>
        </w:rPr>
        <w:t xml:space="preserve"> размере 40 000,0 (сорок тысяч) рублей </w:t>
      </w:r>
      <w:r>
        <w:rPr>
          <w:rFonts w:ascii="Times New Roman" w:hAnsi="Times New Roman"/>
          <w:sz w:val="28"/>
        </w:rPr>
        <w:t>(далее – единовременная денежная выплата)</w:t>
      </w:r>
      <w:r>
        <w:rPr>
          <w:rFonts w:ascii="Times New Roman" w:hAnsi="Times New Roman"/>
          <w:sz w:val="28"/>
        </w:rPr>
        <w:t xml:space="preserve"> проживающим в Камчатском крае </w:t>
      </w:r>
      <w:r>
        <w:rPr>
          <w:rFonts w:ascii="Times New Roman" w:hAnsi="Times New Roman"/>
          <w:b w:val="0"/>
          <w:sz w:val="28"/>
        </w:rPr>
        <w:t>участникам ликвидации последствий катастрофы на Чернобыльской АЭС, инвалидам из числа участников ликвидации последствий катастрофы на Чернобыльской АЭС, вдовам (вдовцам) погибших (умерших) участников ликвидации последствий катастрофы на Чернобыльской АЭС и гражданам, ставшим инвалидами вследствие катастрофы на Чернобыльской АЭС.</w:t>
      </w:r>
    </w:p>
    <w:p w14:paraId="1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 xml:space="preserve"> Единовременная денежная выплата предоставляется за счет средств </w:t>
      </w:r>
      <w:r>
        <w:rPr>
          <w:rFonts w:ascii="Times New Roman" w:hAnsi="Times New Roman"/>
          <w:sz w:val="28"/>
        </w:rPr>
        <w:t>краев</w:t>
      </w:r>
      <w:r>
        <w:rPr>
          <w:rFonts w:ascii="Times New Roman" w:hAnsi="Times New Roman"/>
          <w:sz w:val="28"/>
        </w:rPr>
        <w:t xml:space="preserve">ого бюджета Министерством социального благополучия и семейной </w:t>
      </w:r>
      <w:r>
        <w:rPr>
          <w:rFonts w:ascii="Times New Roman" w:hAnsi="Times New Roman"/>
          <w:sz w:val="28"/>
        </w:rPr>
        <w:t xml:space="preserve">политики Камчатского края (далее – Министерство) через краевое </w:t>
      </w:r>
      <w:r>
        <w:rPr>
          <w:rFonts w:ascii="Times New Roman" w:hAnsi="Times New Roman"/>
          <w:sz w:val="28"/>
        </w:rPr>
        <w:t xml:space="preserve">государственное казенное учреждение «Камчатский центр по выплате </w:t>
      </w:r>
      <w:r>
        <w:rPr>
          <w:rFonts w:ascii="Times New Roman" w:hAnsi="Times New Roman"/>
          <w:sz w:val="28"/>
        </w:rPr>
        <w:t xml:space="preserve">государственных и социальных пособий» (далее – КГКУ «Центр выплат»), до </w:t>
      </w:r>
      <w:r>
        <w:rPr>
          <w:rFonts w:ascii="Times New Roman" w:hAnsi="Times New Roman"/>
          <w:sz w:val="28"/>
        </w:rPr>
        <w:t xml:space="preserve">которого как до получателя средств краевого бюджета в установленном </w:t>
      </w:r>
      <w:r>
        <w:rPr>
          <w:rFonts w:ascii="Times New Roman" w:hAnsi="Times New Roman"/>
          <w:sz w:val="28"/>
        </w:rPr>
        <w:t xml:space="preserve">бюджетным законодательством Российской Федерации порядке доведены </w:t>
      </w:r>
      <w:r>
        <w:rPr>
          <w:rFonts w:ascii="Times New Roman" w:hAnsi="Times New Roman"/>
          <w:sz w:val="28"/>
        </w:rPr>
        <w:t xml:space="preserve">лимиты бюджетных обязательств на цели, установленные в части 1 </w:t>
      </w:r>
      <w:r>
        <w:rPr>
          <w:rFonts w:ascii="Times New Roman" w:hAnsi="Times New Roman"/>
          <w:sz w:val="28"/>
        </w:rPr>
        <w:t>настоящего постановления.</w:t>
      </w:r>
    </w:p>
    <w:p w14:paraId="1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Единовременная денежная выплата предоставляется в целях реализации </w:t>
      </w:r>
      <w:r>
        <w:rPr>
          <w:rFonts w:ascii="Times New Roman" w:hAnsi="Times New Roman"/>
          <w:sz w:val="28"/>
        </w:rPr>
        <w:t xml:space="preserve">комплекса процессных мероприятий «Реализация мер социальной поддержки </w:t>
      </w:r>
      <w:r>
        <w:rPr>
          <w:rFonts w:ascii="Times New Roman" w:hAnsi="Times New Roman"/>
          <w:sz w:val="28"/>
        </w:rPr>
        <w:t xml:space="preserve">отдельных </w:t>
      </w:r>
      <w:r>
        <w:rPr>
          <w:rFonts w:ascii="Times New Roman" w:hAnsi="Times New Roman"/>
          <w:sz w:val="28"/>
        </w:rPr>
        <w:t xml:space="preserve">категорий </w:t>
      </w:r>
      <w:r>
        <w:rPr>
          <w:rFonts w:ascii="Times New Roman" w:hAnsi="Times New Roman"/>
          <w:sz w:val="28"/>
        </w:rPr>
        <w:t xml:space="preserve">граждан, </w:t>
      </w:r>
      <w:r>
        <w:rPr>
          <w:rFonts w:ascii="Times New Roman" w:hAnsi="Times New Roman"/>
          <w:sz w:val="28"/>
        </w:rPr>
        <w:t xml:space="preserve">установленных </w:t>
      </w:r>
      <w:r>
        <w:rPr>
          <w:rFonts w:ascii="Times New Roman" w:hAnsi="Times New Roman"/>
          <w:sz w:val="28"/>
        </w:rPr>
        <w:t xml:space="preserve">законодательством </w:t>
      </w:r>
      <w:r>
        <w:rPr>
          <w:rFonts w:ascii="Times New Roman" w:hAnsi="Times New Roman"/>
          <w:sz w:val="28"/>
        </w:rPr>
        <w:t xml:space="preserve">Камчатского края» государственной программы Камчатского края </w:t>
      </w:r>
      <w:r>
        <w:rPr>
          <w:rFonts w:ascii="Times New Roman" w:hAnsi="Times New Roman"/>
          <w:sz w:val="28"/>
        </w:rPr>
        <w:t xml:space="preserve">«Социальная поддержка граждан в Камчатском крае», утвержденной </w:t>
      </w:r>
      <w:r>
        <w:rPr>
          <w:rFonts w:ascii="Times New Roman" w:hAnsi="Times New Roman"/>
          <w:sz w:val="28"/>
        </w:rPr>
        <w:t>постановлением Правительства Камчатского края от 28.12.2023 № 697-П.</w:t>
      </w:r>
    </w:p>
    <w:p w14:paraId="18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3. Единовременная денежная выплата гражданам, указанным в части 1 настоящего постановления, предоставляется КГКУ «Це</w:t>
      </w:r>
      <w:r>
        <w:rPr>
          <w:rFonts w:ascii="Times New Roman" w:hAnsi="Times New Roman"/>
          <w:sz w:val="28"/>
        </w:rPr>
        <w:t xml:space="preserve">нтр выплат» </w:t>
      </w:r>
      <w:r>
        <w:br/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беззаявительном</w:t>
      </w:r>
      <w:r>
        <w:rPr>
          <w:rFonts w:ascii="Times New Roman" w:hAnsi="Times New Roman"/>
          <w:sz w:val="28"/>
        </w:rPr>
        <w:t xml:space="preserve"> порядке, на основании сведений, которые содержатся </w:t>
      </w:r>
      <w:r>
        <w:br/>
      </w:r>
      <w:r>
        <w:rPr>
          <w:rFonts w:ascii="Times New Roman" w:hAnsi="Times New Roman"/>
          <w:sz w:val="28"/>
        </w:rPr>
        <w:t xml:space="preserve">в автоматизированных информационных системах, используемых </w:t>
      </w:r>
      <w:r>
        <w:br/>
      </w:r>
      <w:r>
        <w:rPr>
          <w:rFonts w:ascii="Times New Roman" w:hAnsi="Times New Roman"/>
          <w:sz w:val="28"/>
        </w:rPr>
        <w:t>КГКУ «Центр выплат», путем зачисления денежных средств по выбору гражданина на счет в кредитном учреждении либо д</w:t>
      </w:r>
      <w:r>
        <w:rPr>
          <w:rFonts w:ascii="Times New Roman" w:hAnsi="Times New Roman"/>
          <w:sz w:val="28"/>
        </w:rPr>
        <w:t>оставки по месту его жительства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фактическому месту жительства</w:t>
      </w:r>
      <w:r>
        <w:rPr>
          <w:rFonts w:ascii="Times New Roman" w:hAnsi="Times New Roman"/>
          <w:color w:val="000000"/>
          <w:sz w:val="28"/>
        </w:rPr>
        <w:t xml:space="preserve">)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организацией почтовой связи на основании заключенных соглашений (договоров)</w:t>
      </w:r>
      <w:r>
        <w:rPr>
          <w:rFonts w:ascii="Times New Roman" w:hAnsi="Times New Roman"/>
          <w:color w:val="000000"/>
          <w:sz w:val="28"/>
        </w:rPr>
        <w:t xml:space="preserve"> КГКУ «Центр выплат» </w:t>
      </w:r>
      <w:r>
        <w:rPr>
          <w:color w:val="000000"/>
        </w:rPr>
        <w:br/>
      </w:r>
      <w:r>
        <w:rPr>
          <w:rFonts w:ascii="Times New Roman" w:hAnsi="Times New Roman"/>
          <w:color w:val="000000"/>
          <w:sz w:val="28"/>
        </w:rPr>
        <w:t>с кредитными учреждениями и организациями почтовой связи.</w:t>
      </w:r>
    </w:p>
    <w:p w14:paraId="1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4. В случае отсутствия в КГКУ «Центр выплат» сведений, дающих право на получение единовременной денежной выплаты в 2026</w:t>
      </w:r>
      <w:r>
        <w:rPr>
          <w:rFonts w:ascii="Times New Roman" w:hAnsi="Times New Roman"/>
          <w:sz w:val="28"/>
        </w:rPr>
        <w:t xml:space="preserve"> году, она осуществляется в заявительном порядке на основании документов, подтверждающих личность гражданина </w:t>
      </w:r>
      <w:r>
        <w:rPr>
          <w:rFonts w:ascii="Times New Roman" w:hAnsi="Times New Roman"/>
          <w:sz w:val="28"/>
        </w:rPr>
        <w:t>и категори</w:t>
      </w:r>
      <w:r>
        <w:rPr>
          <w:rFonts w:ascii="Times New Roman" w:hAnsi="Times New Roman"/>
          <w:sz w:val="28"/>
        </w:rPr>
        <w:t>ю</w:t>
      </w:r>
      <w:bookmarkStart w:id="2" w:name="_GoBack"/>
      <w:bookmarkEnd w:id="2"/>
      <w:r>
        <w:rPr>
          <w:rFonts w:ascii="Times New Roman" w:hAnsi="Times New Roman"/>
          <w:sz w:val="28"/>
        </w:rPr>
        <w:t xml:space="preserve"> граждан, указанных в части 1 настоящего постановления, согласия на обработку персональных данных, при условии обращения не позднее 15 декабря 2026 года.</w:t>
      </w:r>
    </w:p>
    <w:p w14:paraId="1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Прием заявлений и документов, подтверждающих личность гражданина и его </w:t>
      </w:r>
      <w:r>
        <w:rPr>
          <w:rFonts w:ascii="Times New Roman" w:hAnsi="Times New Roman"/>
          <w:sz w:val="28"/>
        </w:rPr>
        <w:t>статус отнесенным категориям граждан, указанных в части 1 настоящего постановления, осуществляется КГКУ «Центр выплат» по месту жительства (месту пребывания) гражданина.</w:t>
      </w:r>
    </w:p>
    <w:p w14:paraId="1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Перечисление единовременной выплаты осуществляется в пределах лимитов бюджетных обязательств, доведенных до КГКУ «Центр выплат» в установленном законодательством порядке.</w:t>
      </w:r>
    </w:p>
    <w:p w14:paraId="1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недостаточности лимитов бюджетных обязательств, перечисление осуществляется в срок, указанный в решении о предоставлении единовременной выплаты, но не позднее 1 февраля 2027 года. </w:t>
      </w:r>
    </w:p>
    <w:p w14:paraId="1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</w:t>
      </w:r>
      <w:r>
        <w:rPr>
          <w:rFonts w:ascii="Times New Roman" w:hAnsi="Times New Roman"/>
          <w:sz w:val="28"/>
        </w:rPr>
        <w:t xml:space="preserve">Министерство как главный распорядитель средств краевого бюджета </w:t>
      </w:r>
      <w:r>
        <w:rPr>
          <w:rFonts w:ascii="Times New Roman" w:hAnsi="Times New Roman"/>
          <w:sz w:val="28"/>
        </w:rPr>
        <w:t xml:space="preserve">осуществляет контроль за предоставлением единовременной денежной </w:t>
      </w:r>
      <w:r>
        <w:rPr>
          <w:rFonts w:ascii="Times New Roman" w:hAnsi="Times New Roman"/>
          <w:sz w:val="28"/>
        </w:rPr>
        <w:t xml:space="preserve">выплаты, предусмотренной настоящим постановлением с оформлением </w:t>
      </w:r>
      <w:r>
        <w:rPr>
          <w:rFonts w:ascii="Times New Roman" w:hAnsi="Times New Roman"/>
          <w:sz w:val="28"/>
        </w:rPr>
        <w:t xml:space="preserve">результатов проверок в порядке, установленном разделом IV Федерального </w:t>
      </w:r>
      <w:r>
        <w:rPr>
          <w:rFonts w:ascii="Times New Roman" w:hAnsi="Times New Roman"/>
          <w:sz w:val="28"/>
        </w:rPr>
        <w:t xml:space="preserve">стандарта внутреннего государственного (муниципального) финансового </w:t>
      </w:r>
      <w:r>
        <w:rPr>
          <w:rFonts w:ascii="Times New Roman" w:hAnsi="Times New Roman"/>
          <w:sz w:val="28"/>
        </w:rPr>
        <w:t xml:space="preserve">контроля «Проведение проверок, ревизий и обследований и оформление их </w:t>
      </w:r>
      <w:r>
        <w:rPr>
          <w:rFonts w:ascii="Times New Roman" w:hAnsi="Times New Roman"/>
          <w:sz w:val="28"/>
        </w:rPr>
        <w:t xml:space="preserve">результатов», утвержденного Постановлением Правительства Российской </w:t>
      </w:r>
      <w:r>
        <w:rPr>
          <w:rFonts w:ascii="Times New Roman" w:hAnsi="Times New Roman"/>
          <w:sz w:val="28"/>
        </w:rPr>
        <w:t>Федерации от 17.08.2020 № 1235.</w:t>
      </w:r>
    </w:p>
    <w:p w14:paraId="1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Настоящее постановление вступает в силу после дня его официального опубликования.</w:t>
      </w:r>
    </w:p>
    <w:p w14:paraId="1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2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1"/>
        <w:tblInd w:type="dxa" w:w="-34"/>
        <w:tblLayout w:type="fixed"/>
        <w:tblCellMar>
          <w:left w:type="dxa" w:w="0"/>
          <w:right w:type="dxa" w:w="0"/>
        </w:tblCellMar>
      </w:tblPr>
      <w:tblGrid>
        <w:gridCol w:w="3578"/>
        <w:gridCol w:w="3544"/>
        <w:gridCol w:w="2553"/>
      </w:tblGrid>
      <w:tr>
        <w:trPr>
          <w:trHeight w:hRule="atLeast" w:val="1141"/>
        </w:trPr>
        <w:tc>
          <w:tcPr>
            <w:tcW w:type="dxa" w:w="3578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1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Председателя Правительства Камчатского края</w:t>
            </w:r>
          </w:p>
        </w:tc>
        <w:tc>
          <w:tcPr>
            <w:tcW w:type="dxa" w:w="3544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2000000">
            <w:pPr>
              <w:spacing w:line="240" w:lineRule="auto"/>
              <w:ind w:hanging="3" w:left="3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[горизонтальный штамп подписи 1]</w:t>
            </w:r>
          </w:p>
          <w:p w14:paraId="23000000">
            <w:pPr>
              <w:spacing w:line="240" w:lineRule="auto"/>
              <w:ind w:hanging="142" w:left="142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553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4000000">
            <w:pPr>
              <w:spacing w:line="240" w:lineRule="auto"/>
              <w:ind/>
              <w:jc w:val="right"/>
              <w:rPr>
                <w:rFonts w:ascii="Times New Roman" w:hAnsi="Times New Roman"/>
                <w:sz w:val="28"/>
              </w:rPr>
            </w:pPr>
          </w:p>
          <w:p w14:paraId="25000000">
            <w:pPr>
              <w:spacing w:line="240" w:lineRule="auto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Ю.С. </w:t>
            </w:r>
            <w:r>
              <w:rPr>
                <w:rFonts w:ascii="Times New Roman" w:hAnsi="Times New Roman"/>
                <w:sz w:val="28"/>
              </w:rPr>
              <w:t>Морозова</w:t>
            </w:r>
          </w:p>
        </w:tc>
      </w:tr>
    </w:tbl>
    <w:p w14:paraId="26000000"/>
    <w:sectPr>
      <w:headerReference r:id="rId1" w:type="default"/>
      <w:pgSz w:h="16848" w:orient="portrait" w:w="11908"/>
      <w:pgMar w:bottom="691" w:footer="709" w:gutter="0" w:header="709" w:left="1417" w:right="850" w:top="709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1000000">
    <w:pPr>
      <w:rPr>
        <w:rFonts w:ascii="Times New Roman" w:hAnsi="Times New Roman"/>
        <w:sz w:val="28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Endnote"/>
    <w:link w:val="Style_4_ch"/>
    <w:pPr>
      <w:ind w:firstLine="851" w:left="0"/>
      <w:jc w:val="both"/>
    </w:pPr>
    <w:rPr>
      <w:rFonts w:ascii="XO Thames" w:hAnsi="XO Thames"/>
    </w:rPr>
  </w:style>
  <w:style w:styleId="Style_4_ch" w:type="character">
    <w:name w:val="Endnote"/>
    <w:link w:val="Style_4"/>
    <w:rPr>
      <w:rFonts w:ascii="XO Thames" w:hAnsi="XO Thames"/>
    </w:rPr>
  </w:style>
  <w:style w:styleId="Style_5" w:type="paragraph">
    <w:name w:val="Обычный1"/>
    <w:link w:val="Style_5_ch"/>
  </w:style>
  <w:style w:styleId="Style_5_ch" w:type="character">
    <w:name w:val="Обычный1"/>
    <w:link w:val="Style_5"/>
  </w:style>
  <w:style w:styleId="Style_6" w:type="paragraph">
    <w:name w:val="toc 2"/>
    <w:next w:val="Style_3"/>
    <w:link w:val="Style_6_ch"/>
    <w:uiPriority w:val="39"/>
    <w:pPr>
      <w:ind w:firstLine="0" w:left="200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3"/>
    <w:link w:val="Style_7_ch"/>
    <w:uiPriority w:val="39"/>
    <w:pPr>
      <w:ind w:firstLine="0" w:left="600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3"/>
    <w:link w:val="Style_8_ch"/>
    <w:uiPriority w:val="39"/>
    <w:pPr>
      <w:ind w:firstLine="0" w:left="1000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3"/>
    <w:link w:val="Style_9_ch"/>
    <w:uiPriority w:val="39"/>
    <w:pPr>
      <w:ind w:firstLine="0" w:left="1200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Обычный1"/>
    <w:link w:val="Style_11_ch"/>
  </w:style>
  <w:style w:styleId="Style_11_ch" w:type="character">
    <w:name w:val="Обычный1"/>
    <w:link w:val="Style_11"/>
  </w:style>
  <w:style w:styleId="Style_12" w:type="paragraph">
    <w:name w:val="Основной шрифт абзаца2"/>
    <w:link w:val="Style_12_ch"/>
  </w:style>
  <w:style w:styleId="Style_12_ch" w:type="character">
    <w:name w:val="Основной шрифт абзаца2"/>
    <w:link w:val="Style_12"/>
  </w:style>
  <w:style w:styleId="Style_13" w:type="paragraph">
    <w:name w:val="Основной шрифт абзаца1"/>
    <w:link w:val="Style_13_ch"/>
  </w:style>
  <w:style w:styleId="Style_13_ch" w:type="character">
    <w:name w:val="Основной шрифт абзаца1"/>
    <w:link w:val="Style_13"/>
  </w:style>
  <w:style w:styleId="Style_14" w:type="paragraph">
    <w:name w:val="toc 3"/>
    <w:next w:val="Style_3"/>
    <w:link w:val="Style_14_ch"/>
    <w:uiPriority w:val="39"/>
    <w:pPr>
      <w:ind w:firstLine="0" w:left="400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Гиперссылка2"/>
    <w:link w:val="Style_15_ch"/>
    <w:rPr>
      <w:color w:val="0000FF"/>
      <w:u w:val="single"/>
    </w:rPr>
  </w:style>
  <w:style w:styleId="Style_15_ch" w:type="character">
    <w:name w:val="Гиперссылка2"/>
    <w:link w:val="Style_15"/>
    <w:rPr>
      <w:color w:val="0000FF"/>
      <w:u w:val="single"/>
    </w:rPr>
  </w:style>
  <w:style w:styleId="Style_16" w:type="paragraph">
    <w:name w:val="Гиперссылка1"/>
    <w:link w:val="Style_16_ch"/>
    <w:rPr>
      <w:color w:val="0000FF"/>
      <w:u w:val="single"/>
    </w:rPr>
  </w:style>
  <w:style w:styleId="Style_16_ch" w:type="character">
    <w:name w:val="Гиперссылка1"/>
    <w:link w:val="Style_16"/>
    <w:rPr>
      <w:color w:val="0000FF"/>
      <w:u w:val="single"/>
    </w:rPr>
  </w:style>
  <w:style w:styleId="Style_17" w:type="paragraph">
    <w:name w:val="footer"/>
    <w:basedOn w:val="Style_3"/>
    <w:link w:val="Style_17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17_ch" w:type="character">
    <w:name w:val="footer"/>
    <w:basedOn w:val="Style_3_ch"/>
    <w:link w:val="Style_17"/>
    <w:rPr>
      <w:rFonts w:ascii="Times New Roman" w:hAnsi="Times New Roman"/>
      <w:sz w:val="28"/>
    </w:rPr>
  </w:style>
  <w:style w:styleId="Style_18" w:type="paragraph">
    <w:name w:val="heading 5"/>
    <w:next w:val="Style_3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8_ch" w:type="character">
    <w:name w:val="heading 5"/>
    <w:link w:val="Style_18"/>
    <w:rPr>
      <w:rFonts w:ascii="XO Thames" w:hAnsi="XO Thames"/>
      <w:b w:val="1"/>
    </w:rPr>
  </w:style>
  <w:style w:styleId="Style_19" w:type="paragraph">
    <w:name w:val="heading 1"/>
    <w:next w:val="Style_3"/>
    <w:link w:val="Style_1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Balloon Text"/>
    <w:basedOn w:val="Style_3"/>
    <w:link w:val="Style_20_ch"/>
    <w:pPr>
      <w:spacing w:after="0" w:line="240" w:lineRule="auto"/>
      <w:ind/>
    </w:pPr>
    <w:rPr>
      <w:rFonts w:ascii="Segoe UI" w:hAnsi="Segoe UI"/>
      <w:sz w:val="18"/>
    </w:rPr>
  </w:style>
  <w:style w:styleId="Style_20_ch" w:type="character">
    <w:name w:val="Balloon Text"/>
    <w:basedOn w:val="Style_3_ch"/>
    <w:link w:val="Style_20"/>
    <w:rPr>
      <w:rFonts w:ascii="Segoe UI" w:hAnsi="Segoe UI"/>
      <w:sz w:val="18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</w:rPr>
  </w:style>
  <w:style w:styleId="Style_22_ch" w:type="character">
    <w:name w:val="Footnote"/>
    <w:link w:val="Style_22"/>
    <w:rPr>
      <w:rFonts w:ascii="XO Thames" w:hAnsi="XO Thames"/>
    </w:rPr>
  </w:style>
  <w:style w:styleId="Style_23" w:type="paragraph">
    <w:name w:val="toc 1"/>
    <w:next w:val="Style_3"/>
    <w:link w:val="Style_23_ch"/>
    <w:uiPriority w:val="39"/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0"/>
    </w:rPr>
  </w:style>
  <w:style w:styleId="Style_25_ch" w:type="character">
    <w:name w:val="Header and Footer"/>
    <w:link w:val="Style_25"/>
    <w:rPr>
      <w:rFonts w:ascii="XO Thames" w:hAnsi="XO Thames"/>
      <w:sz w:val="20"/>
    </w:rPr>
  </w:style>
  <w:style w:styleId="Style_26" w:type="paragraph">
    <w:name w:val="Plain Text"/>
    <w:basedOn w:val="Style_3"/>
    <w:link w:val="Style_26_ch"/>
    <w:pPr>
      <w:spacing w:after="0" w:line="240" w:lineRule="auto"/>
      <w:ind/>
    </w:pPr>
    <w:rPr>
      <w:rFonts w:ascii="Calibri" w:hAnsi="Calibri"/>
    </w:rPr>
  </w:style>
  <w:style w:styleId="Style_26_ch" w:type="character">
    <w:name w:val="Plain Text"/>
    <w:basedOn w:val="Style_3_ch"/>
    <w:link w:val="Style_26"/>
    <w:rPr>
      <w:rFonts w:ascii="Calibri" w:hAnsi="Calibri"/>
    </w:rPr>
  </w:style>
  <w:style w:styleId="Style_27" w:type="paragraph">
    <w:name w:val="toc 9"/>
    <w:next w:val="Style_3"/>
    <w:link w:val="Style_27_ch"/>
    <w:uiPriority w:val="39"/>
    <w:pPr>
      <w:ind w:firstLine="0" w:left="1600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Обычный1"/>
    <w:link w:val="Style_28_ch"/>
  </w:style>
  <w:style w:styleId="Style_28_ch" w:type="character">
    <w:name w:val="Обычный1"/>
    <w:link w:val="Style_28"/>
  </w:style>
  <w:style w:styleId="Style_29" w:type="paragraph">
    <w:name w:val="toc 8"/>
    <w:next w:val="Style_3"/>
    <w:link w:val="Style_29_ch"/>
    <w:uiPriority w:val="39"/>
    <w:pPr>
      <w:ind w:firstLine="0" w:left="1400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toc 5"/>
    <w:next w:val="Style_3"/>
    <w:link w:val="Style_30_ch"/>
    <w:uiPriority w:val="39"/>
    <w:pPr>
      <w:ind w:firstLine="0" w:left="800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Гиперссылка1"/>
    <w:basedOn w:val="Style_13"/>
    <w:link w:val="Style_31_ch"/>
    <w:rPr>
      <w:color w:themeColor="hyperlink" w:val="0563C1"/>
      <w:u w:val="single"/>
    </w:rPr>
  </w:style>
  <w:style w:styleId="Style_31_ch" w:type="character">
    <w:name w:val="Гиперссылка1"/>
    <w:basedOn w:val="Style_13_ch"/>
    <w:link w:val="Style_31"/>
    <w:rPr>
      <w:color w:themeColor="hyperlink" w:val="0563C1"/>
      <w:u w:val="single"/>
    </w:rPr>
  </w:style>
  <w:style w:styleId="Style_32" w:type="paragraph">
    <w:name w:val="Subtitle"/>
    <w:next w:val="Style_3"/>
    <w:link w:val="Style_3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2_ch" w:type="character">
    <w:name w:val="Subtitle"/>
    <w:link w:val="Style_32"/>
    <w:rPr>
      <w:rFonts w:ascii="XO Thames" w:hAnsi="XO Thames"/>
      <w:i w:val="1"/>
      <w:sz w:val="24"/>
    </w:rPr>
  </w:style>
  <w:style w:styleId="Style_33" w:type="paragraph">
    <w:name w:val="header"/>
    <w:basedOn w:val="Style_3"/>
    <w:link w:val="Style_33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3_ch" w:type="character">
    <w:name w:val="header"/>
    <w:basedOn w:val="Style_3_ch"/>
    <w:link w:val="Style_33"/>
  </w:style>
  <w:style w:styleId="Style_34" w:type="paragraph">
    <w:name w:val="Title"/>
    <w:next w:val="Style_3"/>
    <w:link w:val="Style_3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4_ch" w:type="character">
    <w:name w:val="Title"/>
    <w:link w:val="Style_34"/>
    <w:rPr>
      <w:rFonts w:ascii="XO Thames" w:hAnsi="XO Thames"/>
      <w:b w:val="1"/>
      <w:caps w:val="1"/>
      <w:sz w:val="40"/>
    </w:rPr>
  </w:style>
  <w:style w:styleId="Style_35" w:type="paragraph">
    <w:name w:val="heading 4"/>
    <w:next w:val="Style_3"/>
    <w:link w:val="Style_3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5_ch" w:type="character">
    <w:name w:val="heading 4"/>
    <w:link w:val="Style_35"/>
    <w:rPr>
      <w:rFonts w:ascii="XO Thames" w:hAnsi="XO Thames"/>
      <w:b w:val="1"/>
      <w:sz w:val="24"/>
    </w:rPr>
  </w:style>
  <w:style w:styleId="Style_36" w:type="paragraph">
    <w:name w:val="heading 2"/>
    <w:next w:val="Style_3"/>
    <w:link w:val="Style_3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6_ch" w:type="character">
    <w:name w:val="heading 2"/>
    <w:link w:val="Style_36"/>
    <w:rPr>
      <w:rFonts w:ascii="XO Thames" w:hAnsi="XO Thames"/>
      <w:b w:val="1"/>
      <w:sz w:val="28"/>
    </w:rPr>
  </w:style>
  <w:style w:styleId="Style_37" w:type="paragraph">
    <w:name w:val="Основной шрифт абзаца3"/>
    <w:link w:val="Style_37_ch"/>
  </w:style>
  <w:style w:styleId="Style_37_ch" w:type="character">
    <w:name w:val="Основной шрифт абзаца3"/>
    <w:link w:val="Style_37"/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8" w:type="table">
    <w:name w:val="Сетка таблицы2"/>
    <w:basedOn w:val="Style_1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9" w:type="table">
    <w:name w:val="Сетка таблицы1"/>
    <w:basedOn w:val="Style_1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" w:type="table">
    <w:name w:val="Table Grid"/>
    <w:basedOn w:val="Style_1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jpeg" Type="http://schemas.openxmlformats.org/officeDocument/2006/relationships/imag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2026-02-17T04:11:26Z</dcterms:modified>
</cp:coreProperties>
</file>