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</w:t>
      </w:r>
      <w:r>
        <w:rPr>
          <w:rFonts w:ascii="Times New Roman" w:hAnsi="Times New Roman"/>
          <w:b w:val="1"/>
          <w:sz w:val="28"/>
        </w:rPr>
        <w:t xml:space="preserve">о края от 24.11.2008 № 385-П </w:t>
      </w:r>
      <w:r>
        <w:rPr>
          <w:rFonts w:ascii="Times New Roman" w:hAnsi="Times New Roman"/>
          <w:b w:val="1"/>
          <w:sz w:val="28"/>
        </w:rPr>
        <w:t>«Об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Внести в приложение к </w:t>
      </w:r>
      <w:r>
        <w:rPr>
          <w:rFonts w:ascii="Times New Roman" w:hAnsi="Times New Roman"/>
          <w:color w:val="000000"/>
          <w:sz w:val="28"/>
          <w:u w:val="none"/>
        </w:rPr>
        <w:t>п</w:t>
      </w:r>
      <w:r>
        <w:rPr>
          <w:rFonts w:ascii="Times New Roman" w:hAnsi="Times New Roman"/>
          <w:sz w:val="28"/>
        </w:rPr>
        <w:t>остановлению Правительства Камчатского края от 24.11.2008 № 385-П «Об утверждении Примерного положения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>о сис</w:t>
      </w:r>
      <w:r>
        <w:rPr>
          <w:rFonts w:ascii="Times New Roman" w:hAnsi="Times New Roman"/>
          <w:color w:val="000000"/>
          <w:sz w:val="28"/>
        </w:rPr>
        <w:t xml:space="preserve">теме оплаты труда работников государственных учреждений, подведомственных Министерству здравоохранения Камчатского края» изменения согласно </w:t>
      </w:r>
      <w:r>
        <w:rPr>
          <w:rFonts w:ascii="Times New Roman" w:hAnsi="Times New Roman"/>
          <w:color w:val="000000"/>
          <w:sz w:val="28"/>
        </w:rPr>
        <w:t>приложению</w:t>
      </w:r>
      <w:r>
        <w:rPr>
          <w:rFonts w:ascii="Times New Roman" w:hAnsi="Times New Roman"/>
          <w:color w:val="000000"/>
          <w:sz w:val="28"/>
        </w:rPr>
        <w:t xml:space="preserve"> к настоящему постановлению.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дня его официального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опубликования, действие настоящего постановления распространяется на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правоотношени</w:t>
      </w:r>
      <w:r>
        <w:rPr>
          <w:rFonts w:ascii="Times New Roman" w:hAnsi="Times New Roman"/>
          <w:color w:val="000000"/>
          <w:sz w:val="28"/>
        </w:rPr>
        <w:t>я,</w:t>
      </w:r>
      <w:r>
        <w:rPr>
          <w:rFonts w:ascii="Times New Roman" w:hAnsi="Times New Roman"/>
          <w:color w:val="000000"/>
          <w:sz w:val="28"/>
        </w:rPr>
        <w:t xml:space="preserve"> возникшие с 1 января 2026 года.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  <w:shd w:fill="FFD821" w:val="clear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  <w:shd w:fill="FFD821" w:val="clear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/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24.11.2008 № 385-П «Об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края»</w:t>
      </w:r>
    </w:p>
    <w:p w14:paraId="3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Таблицу приложения 3 к Примерному положению о системе оплаты труда работников государственных учреждений, подведомственных Министерству здравоохранения Камчатского края, изложить в следующей редакции: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4"/>
        <w:gridCol w:w="6521"/>
        <w:gridCol w:w="2402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 квалификационный уровень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F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оклад (должностно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оклад), рублей</w:t>
            </w:r>
          </w:p>
        </w:tc>
      </w:tr>
    </w:tbl>
    <w:p w14:paraId="40000000">
      <w:pPr>
        <w:spacing w:after="0" w:line="240" w:lineRule="auto"/>
        <w:ind/>
        <w:rPr>
          <w:sz w:val="2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4"/>
        <w:gridCol w:w="6521"/>
        <w:gridCol w:w="2402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квалификационный уровень.</w:t>
            </w:r>
          </w:p>
          <w:p w14:paraId="46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13 014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квалификационный уровень.</w:t>
            </w:r>
          </w:p>
          <w:p w14:paraId="4A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дополнительного образования; педагог-организатор; социальный педагог; инструктор-методист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14 243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квалификационный уровень.</w:t>
            </w:r>
          </w:p>
          <w:p w14:paraId="4E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15 312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квалификационный уровень.</w:t>
            </w:r>
          </w:p>
          <w:p w14:paraId="52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воспитатель; старший методист; учитель; учитель-дефектолог; учитель-логопед (логопед)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16 078</w:t>
            </w:r>
          </w:p>
        </w:tc>
      </w:tr>
    </w:tbl>
    <w:p w14:paraId="5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9A0011CFBC38B9B5F35008F6B1B82B0019AA8FB46DF3E55B7A5A95F932AF35D878762186B3D1653492F8A9B726C6B4EFC02297748601A2746EE0F0DFo7vCBОбутверждениипримерногоположенияосистемеоплатытрудаработниковгосударственныхучреждений,подведомственныхМинистерствуздравоохраненияКамчатскогокрая---------" \o "Постановление Правительства Камчатского края от 24.11.2008 N 385-П (ред. от 14.03.2018)"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Таблицу приложения 6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к Примерному положению о системе оплаты труда работников государственных учреждений, подведомственных Министерству здравоохранения Камчатского края, изложить в следующей редакции: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4"/>
        <w:gridCol w:w="6521"/>
        <w:gridCol w:w="2290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квалификационная группа, </w:t>
            </w:r>
          </w:p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квалификационный уровень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Минимальный </w:t>
            </w:r>
            <w:r>
              <w:rPr>
                <w:rFonts w:ascii="Times New Roman" w:hAnsi="Times New Roman"/>
                <w:sz w:val="24"/>
              </w:rPr>
              <w:t>оклад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должностно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z w:val="24"/>
              </w:rPr>
              <w:t>ок</w:t>
            </w:r>
            <w:r>
              <w:rPr>
                <w:rStyle w:val="Style_3_ch"/>
                <w:rFonts w:ascii="Times New Roman" w:hAnsi="Times New Roman"/>
                <w:sz w:val="24"/>
              </w:rPr>
              <w:t>лад</w:t>
            </w:r>
            <w:r>
              <w:rPr>
                <w:rStyle w:val="Style_3_ch"/>
                <w:rFonts w:ascii="Times New Roman" w:hAnsi="Times New Roman"/>
                <w:sz w:val="24"/>
              </w:rPr>
              <w:t>, ставок заработной платы</w:t>
            </w:r>
            <w:r>
              <w:rPr>
                <w:rStyle w:val="Style_3_ch"/>
                <w:rFonts w:ascii="Times New Roman" w:hAnsi="Times New Roman"/>
                <w:sz w:val="24"/>
              </w:rPr>
              <w:t>)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</w:tbl>
    <w:p w14:paraId="5C000000">
      <w:pPr>
        <w:spacing w:after="0" w:line="240" w:lineRule="auto"/>
        <w:ind/>
        <w:jc w:val="center"/>
        <w:rPr>
          <w:rFonts w:ascii="Times New Roman" w:hAnsi="Times New Roman"/>
          <w:sz w:val="2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4"/>
        <w:gridCol w:w="6511"/>
        <w:gridCol w:w="2290"/>
      </w:tblGrid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58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8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spacing w:after="0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Профессиональная квалификационная группа должностей работников учебно-вспомогательного персонала 1 уровня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учебной части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6 154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8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Профессиональная квалификационная группа должностей работников</w:t>
            </w:r>
            <w:r>
              <w:rPr>
                <w:rFonts w:ascii="Times New Roman" w:hAnsi="Times New Roman"/>
                <w:sz w:val="24"/>
              </w:rPr>
              <w:t xml:space="preserve"> учебно-вспомогательного персонала 2 уровня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 образовательного учреждения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5 230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8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Профессиональная квалификационная группа должностей п</w:t>
            </w:r>
            <w:r>
              <w:rPr>
                <w:rFonts w:ascii="Times New Roman" w:hAnsi="Times New Roman"/>
                <w:sz w:val="24"/>
              </w:rPr>
              <w:t>едагогических работников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квалификационный уровень.</w:t>
            </w:r>
          </w:p>
          <w:p w14:paraId="6E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педагог-организатор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7 311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квалификационный уровень.</w:t>
            </w:r>
          </w:p>
          <w:p w14:paraId="72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Воспитатель, методист, педагог-психолог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8 028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квалификационный уровень.</w:t>
            </w:r>
          </w:p>
          <w:p w14:paraId="76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Преподаватель, руководитель физического воспитания, старший методист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8 74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8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hAnsi="Times New Roman"/>
                <w:sz w:val="24"/>
              </w:rPr>
              <w:t>руководителей структурных подразделений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квалификационный уровень.</w:t>
            </w:r>
          </w:p>
          <w:p w14:paraId="7C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отделением, заведующий библиотекой, заведующий общежитием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12 074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6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квалификационный уровень.</w:t>
            </w:r>
          </w:p>
          <w:p w14:paraId="80000000">
            <w:pPr>
              <w:widowControl w:val="0"/>
              <w:spacing w:after="0" w:line="240" w:lineRule="auto"/>
              <w:ind w:firstLine="0" w:left="142"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филиалом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widowControl w:val="0"/>
              <w:spacing w:after="0" w:line="240" w:lineRule="auto"/>
              <w:ind w:firstLine="0" w:left="142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12 637</w:t>
            </w:r>
          </w:p>
        </w:tc>
      </w:tr>
    </w:tbl>
    <w:p w14:paraId="8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toc 3"/>
    <w:next w:val="Style_3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Гиперссылка1"/>
    <w:basedOn w:val="Style_12"/>
    <w:link w:val="Style_11_ch"/>
    <w:rPr>
      <w:color w:themeColor="hyperlink" w:val="0563C1"/>
      <w:u w:val="single"/>
    </w:rPr>
  </w:style>
  <w:style w:styleId="Style_11_ch" w:type="character">
    <w:name w:val="Гиперссылка1"/>
    <w:basedOn w:val="Style_12_ch"/>
    <w:link w:val="Style_11"/>
    <w:rPr>
      <w:color w:themeColor="hyperlink" w:val="0563C1"/>
      <w:u w:val="single"/>
    </w:rPr>
  </w:style>
  <w:style w:styleId="Style_13" w:type="paragraph">
    <w:name w:val="header"/>
    <w:basedOn w:val="Style_3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Plain Text"/>
    <w:basedOn w:val="Style_3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Plain Text"/>
    <w:basedOn w:val="Style_3_ch"/>
    <w:link w:val="Style_20"/>
    <w:rPr>
      <w:rFonts w:ascii="Calibri" w:hAnsi="Calibri"/>
    </w:rPr>
  </w:style>
  <w:style w:styleId="Style_21" w:type="paragraph">
    <w:name w:val="toc 9"/>
    <w:next w:val="Style_3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3_ch"/>
    <w:link w:val="Style_24"/>
    <w:rPr>
      <w:rFonts w:ascii="Times New Roman" w:hAnsi="Times New Roman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2026-02-09T22:52:19Z</dcterms:modified>
</cp:coreProperties>
</file>