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spacing w:after="0" w:before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14" y="0"/>
                <wp:lineTo x="-14" y="20874"/>
                <wp:lineTo x="20954" y="20874"/>
                <wp:lineTo x="20954" y="0"/>
                <wp:lineTo x="-14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3000000">
      <w:pPr>
        <w:pStyle w:val="Style_2"/>
        <w:spacing w:after="0" w:before="0" w:line="360" w:lineRule="auto"/>
        <w:ind/>
        <w:jc w:val="center"/>
        <w:rPr>
          <w:rFonts w:ascii="Times New Roman" w:hAnsi="Times New Roman"/>
          <w:sz w:val="32"/>
        </w:rPr>
      </w:pPr>
    </w:p>
    <w:p w14:paraId="04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5000000">
      <w:pPr>
        <w:pStyle w:val="Style_2"/>
        <w:spacing w:after="0" w:before="0" w:line="240" w:lineRule="auto"/>
        <w:ind/>
        <w:rPr>
          <w:rFonts w:ascii="Times New Roman" w:hAnsi="Times New Roman"/>
          <w:b w:val="1"/>
          <w:sz w:val="32"/>
        </w:rPr>
      </w:pPr>
    </w:p>
    <w:p w14:paraId="06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МИНИСТЕРСТВО ТУРИЗМА </w:t>
      </w:r>
    </w:p>
    <w:p w14:paraId="07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8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</w:p>
    <w:p w14:paraId="09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A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0B000000">
      <w:pPr>
        <w:pStyle w:val="Style_2"/>
        <w:spacing w:after="0" w:before="0" w:line="240" w:lineRule="auto"/>
        <w:ind w:firstLine="709" w:left="0" w:right="0"/>
        <w:jc w:val="center"/>
        <w:rPr>
          <w:rFonts w:ascii="Times New Roman" w:hAnsi="Times New Roman"/>
          <w:sz w:val="20"/>
        </w:rPr>
      </w:pP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253"/>
      </w:tblGrid>
      <w:tr>
        <w:trPr>
          <w:trHeight w:hRule="atLeast" w:val="232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C000000">
            <w:pPr>
              <w:pStyle w:val="Style_2"/>
              <w:widowControl w:val="1"/>
              <w:spacing w:after="0" w:before="0" w:line="240" w:lineRule="auto"/>
              <w:ind w:hanging="142" w:left="142" w:right="0"/>
              <w:jc w:val="left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pacing w:val="0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pacing w:val="0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pacing w:val="0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D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E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F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639"/>
      </w:tblGrid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 xml:space="preserve">Об утверждении Программы профилактики рисков причинения вреда (ущерба) охраняемым законом ценностям по региональному государственному контролю (надзору) в туристской индустрии 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br/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>на 2026 год</w:t>
            </w:r>
          </w:p>
        </w:tc>
      </w:tr>
    </w:tbl>
    <w:p w14:paraId="11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2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3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статьей 44 Федерального закона от 31.07.2020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№ 248-ФЗ</w:t>
      </w:r>
      <w:r>
        <w:rPr>
          <w:rFonts w:ascii="Times New Roman" w:hAnsi="Times New Roman"/>
          <w:sz w:val="28"/>
        </w:rPr>
        <w:t xml:space="preserve"> «О </w:t>
      </w:r>
      <w:r>
        <w:rPr>
          <w:rFonts w:ascii="Times New Roman" w:hAnsi="Times New Roman"/>
          <w:sz w:val="28"/>
        </w:rPr>
        <w:t xml:space="preserve">государственном контроле (надзоре) и муниципальном контроле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Российской Федерации», постановлением Правительства Российской Федерации от 25.06.2021 № 990 «Об утверждении Правил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4"/>
          <w:sz w:val="28"/>
        </w:rPr>
        <w:t xml:space="preserve">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ценностям»,</w:t>
      </w:r>
    </w:p>
    <w:p w14:paraId="14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</w:p>
    <w:p w14:paraId="15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14:paraId="16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</w:p>
    <w:p w14:paraId="17000000">
      <w:pPr>
        <w:pStyle w:val="Style_2"/>
        <w:numPr>
          <w:ilvl w:val="0"/>
          <w:numId w:val="1"/>
        </w:num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 программу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</w:rPr>
        <w:t>профилактики рисков причинения вреда (ущерба) охраняемым законом ценностям по региональному государственному контролю (надзору) в туристской индустрии на 2026 год.</w:t>
      </w:r>
    </w:p>
    <w:p w14:paraId="18000000">
      <w:pPr>
        <w:pStyle w:val="Style_2"/>
        <w:numPr>
          <w:ilvl w:val="0"/>
          <w:numId w:val="1"/>
        </w:num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Разместить настоящий приказ на официальной </w:t>
      </w:r>
      <w:r>
        <w:rPr>
          <w:rFonts w:ascii="Times New Roman" w:hAnsi="Times New Roman"/>
          <w:sz w:val="28"/>
        </w:rPr>
        <w:t>страниц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Министерства туризма Камчатского края.</w:t>
      </w:r>
    </w:p>
    <w:p w14:paraId="19000000">
      <w:pPr>
        <w:pStyle w:val="Style_2"/>
        <w:numPr>
          <w:ilvl w:val="0"/>
          <w:numId w:val="1"/>
        </w:num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за исполнением настоящего приказа оставляю за собой.</w:t>
      </w:r>
    </w:p>
    <w:p w14:paraId="1A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B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</w:p>
    <w:p w14:paraId="1C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976"/>
        <w:gridCol w:w="4394"/>
        <w:gridCol w:w="2269"/>
      </w:tblGrid>
      <w:tr>
        <w:trPr>
          <w:trHeight w:hRule="atLeast" w:val="1198"/>
        </w:trPr>
        <w:tc>
          <w:tcPr>
            <w:tcW w:type="dxa" w:w="2976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D000000">
            <w:pPr>
              <w:pStyle w:val="Style_2"/>
              <w:widowControl w:val="1"/>
              <w:spacing w:after="0" w:before="0" w:line="240" w:lineRule="auto"/>
              <w:ind w:firstLine="0" w:left="0" w:right="2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Министр</w:t>
            </w:r>
          </w:p>
          <w:p w14:paraId="1E000000">
            <w:pPr>
              <w:pStyle w:val="Style_2"/>
              <w:widowControl w:val="1"/>
              <w:spacing w:after="0" w:before="0" w:line="240" w:lineRule="auto"/>
              <w:ind w:firstLine="0" w:left="30" w:right="27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394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F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pacing w:val="0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type="dxa" w:w="2269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0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В.В. Русанов</w:t>
            </w:r>
            <w:bookmarkStart w:id="3" w:name="_GoBack"/>
            <w:bookmarkEnd w:id="3"/>
          </w:p>
        </w:tc>
      </w:tr>
    </w:tbl>
    <w:p w14:paraId="21000000">
      <w:pPr>
        <w:pStyle w:val="Style_2"/>
      </w:pPr>
    </w:p>
    <w:p w14:paraId="22000000">
      <w:pPr>
        <w:pStyle w:val="Style_2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23000000">
      <w:pPr>
        <w:pStyle w:val="Style_2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к приказу Министерства</w:t>
      </w:r>
    </w:p>
    <w:p w14:paraId="24000000">
      <w:pPr>
        <w:pStyle w:val="Style_2"/>
        <w:widowControl w:val="0"/>
        <w:spacing w:after="0" w:before="0" w:line="240" w:lineRule="auto"/>
        <w:ind w:firstLine="0" w:left="5103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туризма Камчатского края</w:t>
      </w:r>
    </w:p>
    <w:tbl>
      <w:tblPr>
        <w:tblStyle w:val="Style_4"/>
        <w:tblW w:type="auto" w:w="0"/>
        <w:jc w:val="left"/>
        <w:tblInd w:type="dxa" w:w="5061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40"/>
        <w:gridCol w:w="1869"/>
        <w:gridCol w:w="486"/>
        <w:gridCol w:w="1700"/>
      </w:tblGrid>
      <w:tr>
        <w:tc>
          <w:tcPr>
            <w:tcW w:type="dxa" w:w="4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pStyle w:val="Style_2"/>
              <w:widowControl w:val="1"/>
              <w:spacing w:after="60" w:before="0" w:line="240" w:lineRule="auto"/>
              <w:ind w:firstLine="0" w:left="-65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pStyle w:val="Style_2"/>
              <w:widowControl w:val="1"/>
              <w:spacing w:after="60" w:before="0" w:line="240" w:lineRule="auto"/>
              <w:ind w:firstLine="0" w:left="0" w:right="0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pacing w:val="0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pacing w:val="0"/>
                <w:sz w:val="16"/>
              </w:rPr>
              <w:t>EGDATESTAMP]</w:t>
            </w:r>
          </w:p>
        </w:tc>
        <w:tc>
          <w:tcPr>
            <w:tcW w:type="dxa" w:w="48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pStyle w:val="Style_2"/>
              <w:widowControl w:val="1"/>
              <w:spacing w:after="60" w:before="0" w:line="240" w:lineRule="auto"/>
              <w:ind w:firstLine="0" w:left="0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№</w:t>
            </w:r>
          </w:p>
        </w:tc>
        <w:tc>
          <w:tcPr>
            <w:tcW w:type="dxa" w:w="17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pStyle w:val="Style_2"/>
              <w:widowControl w:val="1"/>
              <w:spacing w:after="60" w:before="0" w:line="240" w:lineRule="auto"/>
              <w:ind w:firstLine="0" w:left="0" w:right="0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pacing w:val="0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pacing w:val="0"/>
                <w:sz w:val="16"/>
              </w:rPr>
              <w:t>EGNUMSTAMP]</w:t>
            </w:r>
          </w:p>
        </w:tc>
      </w:tr>
    </w:tbl>
    <w:p w14:paraId="29000000">
      <w:pPr>
        <w:pStyle w:val="Style_2"/>
      </w:pPr>
    </w:p>
    <w:p w14:paraId="2A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Программа</w:t>
      </w:r>
    </w:p>
    <w:p w14:paraId="2B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профилактики рисков причинения вреда (ущерба) охраняемым законом ценностям по региональному государственному контролю (надзору)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туристской индустрии на 2026 год</w:t>
      </w:r>
    </w:p>
    <w:p w14:paraId="2C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2D000000">
      <w:pPr>
        <w:pStyle w:val="Style_2"/>
        <w:numPr>
          <w:ilvl w:val="0"/>
          <w:numId w:val="2"/>
        </w:numPr>
        <w:spacing w:after="0" w:before="0" w:line="240" w:lineRule="auto"/>
        <w:ind w:hanging="360" w:left="720" w:righ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Общие положения</w:t>
      </w:r>
    </w:p>
    <w:p w14:paraId="2E000000">
      <w:pPr>
        <w:pStyle w:val="Style_2"/>
        <w:spacing w:after="0" w:before="0" w:line="240" w:lineRule="auto"/>
        <w:ind w:firstLine="709" w:left="0" w:right="0"/>
        <w:jc w:val="center"/>
        <w:rPr>
          <w:rFonts w:ascii="Times New Roman" w:hAnsi="Times New Roman"/>
          <w:color w:val="000000"/>
          <w:sz w:val="28"/>
        </w:rPr>
      </w:pPr>
    </w:p>
    <w:p w14:paraId="2F000000">
      <w:pPr>
        <w:pStyle w:val="Style_2"/>
        <w:numPr>
          <w:ilvl w:val="0"/>
          <w:numId w:val="3"/>
        </w:num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профилактики рисков причинения вреда (ущерба) охраняемым законом ценностям по региональному государственному контролю (надзору) в сфере туристской индустрии на 2026 год (далее – Программа) разработана в соответствии с Федеральным законом от 31.07.2020 № 248-ФЗ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«О государственном контроле (надзоре) и муниципальном контроле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Российской Федерации» (далее – Федеральный закон № 248-ФЗ), Федеральным законом от 24.11.1996 года № 132-ФЗ «Об основах туристской деятельности в Российской Федерации» (далее – Федеральный закон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№ 132-ФЗ), постановлением Правительства Российской Федерации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25.06.2021 № 990 «Об утверждении Правил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4"/>
          <w:sz w:val="28"/>
        </w:rPr>
        <w:t xml:space="preserve"> разработки, утверждения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4"/>
          <w:sz w:val="28"/>
        </w:rPr>
        <w:br/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4"/>
          <w:sz w:val="28"/>
        </w:rPr>
        <w:t>и актуализации контрольными (надзорными) органами программы профилактики рисков причинения вреда (ущерба) охраняемым законом ценностям», постановлением Правительства Камча</w:t>
      </w:r>
      <w:r>
        <w:rPr>
          <w:rFonts w:ascii="Times New Roman" w:hAnsi="Times New Roman"/>
          <w:sz w:val="28"/>
        </w:rPr>
        <w:t xml:space="preserve">тского края от 25.04.2025 № 163-П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4"/>
          <w:sz w:val="28"/>
        </w:rPr>
        <w:t>Об утверждении Положения о региональном государственном контроле (надзоре) в сфере туристской индустрии на территории Камчатского края»</w:t>
      </w:r>
      <w:r>
        <w:rPr>
          <w:rFonts w:ascii="Times New Roman" w:hAnsi="Times New Roman"/>
          <w:sz w:val="28"/>
        </w:rPr>
        <w:t>.</w:t>
      </w:r>
    </w:p>
    <w:p w14:paraId="30000000">
      <w:pPr>
        <w:pStyle w:val="Style_2"/>
        <w:numPr>
          <w:ilvl w:val="0"/>
          <w:numId w:val="3"/>
        </w:numPr>
        <w:spacing w:after="0" w:before="0" w:line="240" w:lineRule="auto"/>
        <w:ind w:firstLine="85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реализуется Министерством туризма Камчатского края (далее – Министерство) в рамках осуществления регионального государственного контроля (надзора) в сфере туристской индустрии на территории Камчатского края впервые в 2026 году в соответствии с Планом  проведения профилактических мероприятий согласно Приложению 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 настоящей Программе</w:t>
      </w:r>
      <w:r>
        <w:rPr>
          <w:rFonts w:ascii="Times New Roman" w:hAnsi="Times New Roman"/>
          <w:sz w:val="28"/>
        </w:rPr>
        <w:t>.</w:t>
      </w:r>
    </w:p>
    <w:p w14:paraId="31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32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14:paraId="33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34000000">
      <w:pPr>
        <w:pStyle w:val="Style_2"/>
        <w:numPr>
          <w:ilvl w:val="0"/>
          <w:numId w:val="3"/>
        </w:num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а также создания условий для доведения обязательных требований до контролируемых лиц, повышения информированности о способах их соблюдения должностные лица Министерства проводят следующие профилактические мероприятия:</w:t>
      </w:r>
    </w:p>
    <w:p w14:paraId="35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информирование;</w:t>
      </w:r>
    </w:p>
    <w:p w14:paraId="36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обобщение правоприменительной практики;</w:t>
      </w:r>
    </w:p>
    <w:p w14:paraId="37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объявление предостережения;</w:t>
      </w:r>
    </w:p>
    <w:p w14:paraId="38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консультирование;</w:t>
      </w:r>
    </w:p>
    <w:p w14:paraId="39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профилактический визит.</w:t>
      </w:r>
    </w:p>
    <w:p w14:paraId="3A000000">
      <w:pPr>
        <w:pStyle w:val="Style_2"/>
        <w:numPr>
          <w:ilvl w:val="0"/>
          <w:numId w:val="3"/>
        </w:num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Профилактические мероприятия проводятся на постоянной основе. Ответственными подразделениями за проведение профилактический мероприятий в рамках своей компетенции являются:</w:t>
      </w:r>
    </w:p>
    <w:p w14:paraId="3B000000">
      <w:pPr>
        <w:pStyle w:val="Style_2"/>
        <w:numPr>
          <w:ilvl w:val="0"/>
          <w:numId w:val="4"/>
        </w:num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 программ мониторинга, и анализа туристкой деятельности Министерства;</w:t>
      </w:r>
    </w:p>
    <w:p w14:paraId="3C000000">
      <w:pPr>
        <w:pStyle w:val="Style_2"/>
        <w:numPr>
          <w:ilvl w:val="0"/>
          <w:numId w:val="4"/>
        </w:num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 проектов и инфраструктуры туризма Министерства.</w:t>
      </w:r>
    </w:p>
    <w:p w14:paraId="3D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По состоянию на 01.12.2025 года количество подконтрольных субъектов при осуществлении регионального контроля (надзора) составляет 896, из них:</w:t>
      </w:r>
    </w:p>
    <w:p w14:paraId="3E000000">
      <w:pPr>
        <w:pStyle w:val="Style_2"/>
        <w:numPr>
          <w:numId w:val="5"/>
        </w:num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юридических лиц, индивидуальных предпринимателей, физических лиц, осуществляющих деятельность, связанную с использованием средств размещения –233;</w:t>
      </w:r>
    </w:p>
    <w:p w14:paraId="3F000000">
      <w:pPr>
        <w:pStyle w:val="Style_2"/>
        <w:numPr>
          <w:numId w:val="5"/>
        </w:num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юридических лиц, индивидуальных предпринимателей, осуществляющих деятельность, связанную с использованием горнолыжных трасс – 7;</w:t>
      </w:r>
    </w:p>
    <w:p w14:paraId="40000000">
      <w:pPr>
        <w:pStyle w:val="Style_2"/>
        <w:numPr>
          <w:numId w:val="5"/>
        </w:num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юридических лиц, индивидуальных предпринимателей, осуществляющих деятельность, связанную с использованием пляжей –0;</w:t>
      </w:r>
    </w:p>
    <w:p w14:paraId="41000000">
      <w:pPr>
        <w:pStyle w:val="Style_2"/>
        <w:numPr>
          <w:numId w:val="5"/>
        </w:num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организаций, индивидуальных предпринимателей и физических лиц, применяющих специальный налоговый режим и предоставляющих услуги экскурсоводов (гидов), гидов-переводчиков – 195</w:t>
      </w:r>
    </w:p>
    <w:p w14:paraId="42000000">
      <w:pPr>
        <w:pStyle w:val="Style_2"/>
        <w:numPr>
          <w:numId w:val="5"/>
        </w:num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организаций, индивидуальных предпринимателей и физических лиц, применяющих специальный налоговый режим и предоставляющих услуги инструкторов-проводников – 333;</w:t>
      </w:r>
    </w:p>
    <w:p w14:paraId="43000000">
      <w:pPr>
        <w:pStyle w:val="Style_2"/>
        <w:numPr>
          <w:numId w:val="5"/>
        </w:num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владельцев агрегаторов информации об услугах, владельцев сервисов объявлений в части размещения информации о предоставлении услуг средств размещения, гостиничных услуг – 128.</w:t>
      </w:r>
    </w:p>
    <w:p w14:paraId="44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На официальной странице Министерства размещен раздел «Региональный государственный контроль (надзор) в сфере туристской индустрии на территории Камчатского края» в котором представлены и поддерживаются в актуальном состоянии сведения, предусмотренные частью 3 статьи 46 Федерального закона № 248-ФЗ.</w:t>
      </w:r>
    </w:p>
    <w:p w14:paraId="45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Основной проблемой подконтрольной сферы является: </w:t>
      </w:r>
      <w:r>
        <w:rPr>
          <w:rFonts w:ascii="Times New Roman" w:hAnsi="Times New Roman"/>
          <w:sz w:val="28"/>
        </w:rPr>
        <w:t>недостаточный уровень информированности подконтрольных субъектов об обязательных требованиях в области осуществления деятельности экскурсоводов (гидов), гидов-переводчиков и инструкторов-проводников, деятельности средств размещения, горнолыжных трасс, пляжей.</w:t>
      </w:r>
    </w:p>
    <w:p w14:paraId="46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47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3. Цели и задачи реализации программы профилактики рисков причинения вреда</w:t>
      </w:r>
    </w:p>
    <w:p w14:paraId="48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49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8. Профилактика рисков причинения вреда (ущерба) </w:t>
      </w:r>
      <w:r>
        <w:rPr>
          <w:rFonts w:ascii="Times New Roman" w:hAnsi="Times New Roman"/>
          <w:color w:val="000000"/>
          <w:sz w:val="28"/>
        </w:rPr>
        <w:t>охраняемы</w:t>
      </w:r>
      <w:r>
        <w:rPr>
          <w:rFonts w:ascii="Times New Roman" w:hAnsi="Times New Roman"/>
          <w:color w:val="000000"/>
          <w:sz w:val="28"/>
        </w:rPr>
        <w:t>х</w:t>
      </w:r>
      <w:r>
        <w:rPr>
          <w:rFonts w:ascii="Times New Roman" w:hAnsi="Times New Roman"/>
          <w:color w:val="000000"/>
          <w:sz w:val="28"/>
        </w:rPr>
        <w:t xml:space="preserve"> з</w:t>
      </w:r>
      <w:r>
        <w:rPr>
          <w:rFonts w:ascii="Times New Roman" w:hAnsi="Times New Roman"/>
          <w:color w:val="000000"/>
          <w:sz w:val="28"/>
        </w:rPr>
        <w:t>аконом ценностям направлена на достижение следующих целей:</w:t>
      </w:r>
    </w:p>
    <w:p w14:paraId="4A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4B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4C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 стимулирование добросовестного соблюдения обязательных требований всеми контролирующими лицами.</w:t>
      </w:r>
    </w:p>
    <w:p w14:paraId="4D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 предупреждение нарушений обязательных требований (снижение числа нарушений обязательных требований) в подконтрольной сфере на территории Камчатского края;</w:t>
      </w:r>
    </w:p>
    <w:p w14:paraId="4E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5) снижение административной нагрузки на контролируемых лиц.</w:t>
      </w:r>
    </w:p>
    <w:p w14:paraId="4F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9. Проведение Министерством профилактических мероприятий направлено на решение следующих задач:</w:t>
      </w:r>
    </w:p>
    <w:p w14:paraId="50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 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</w:p>
    <w:p w14:paraId="51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 создание системы консультирования контролируемых лиц, в том числе и с использованием информационно-телекоммуникационных технологий;</w:t>
      </w:r>
    </w:p>
    <w:p w14:paraId="52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14:paraId="53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>) с</w:t>
      </w:r>
      <w:r>
        <w:rPr>
          <w:rFonts w:ascii="Times New Roman" w:hAnsi="Times New Roman"/>
          <w:color w:val="000000"/>
          <w:sz w:val="28"/>
        </w:rPr>
        <w:t>нижение административной нагрузки на контролируемых лиц.</w:t>
      </w:r>
    </w:p>
    <w:p w14:paraId="54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10. Профилактические мероприятия планируются и осуществляются на основе следующих базовых принципов:</w:t>
      </w:r>
    </w:p>
    <w:p w14:paraId="55000000">
      <w:pPr>
        <w:pStyle w:val="Style_2"/>
        <w:numPr>
          <w:ilvl w:val="0"/>
          <w:numId w:val="6"/>
        </w:numPr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color w:val="000000"/>
          <w:sz w:val="28"/>
        </w:rPr>
        <w:t>понятности – представление информации об обязательных требованиях в простой, понятной, исчерпывающей форме (описание, пояснение, приведение примеров самих обязательных требований, указание нормативных правовых актов, их содержащих, и административных последствий за нарушение обязательных требований);</w:t>
      </w:r>
    </w:p>
    <w:p w14:paraId="56000000">
      <w:pPr>
        <w:pStyle w:val="Style_2"/>
        <w:numPr>
          <w:ilvl w:val="0"/>
          <w:numId w:val="6"/>
        </w:numPr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color w:val="000000"/>
          <w:sz w:val="28"/>
        </w:rPr>
        <w:t>информационной открытости – доступность для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14:paraId="57000000">
      <w:pPr>
        <w:pStyle w:val="Style_2"/>
        <w:numPr>
          <w:ilvl w:val="0"/>
          <w:numId w:val="6"/>
        </w:numPr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color w:val="000000"/>
          <w:sz w:val="28"/>
        </w:rPr>
        <w:t>вовлеченности – обеспечение включения подконтрольных субъектов посредством различных каналов и инструментов обратной связи в процесс взаимодействия с Министерством по поводу предмета профилактических мероприятий, их качества и результативности;</w:t>
      </w:r>
    </w:p>
    <w:p w14:paraId="58000000">
      <w:pPr>
        <w:pStyle w:val="Style_2"/>
        <w:numPr>
          <w:ilvl w:val="0"/>
          <w:numId w:val="6"/>
        </w:numPr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color w:val="000000"/>
          <w:sz w:val="28"/>
        </w:rPr>
        <w:t>полноты охвата – включение в Программу профилактики максимального числа контролируемых лиц;</w:t>
      </w:r>
    </w:p>
    <w:p w14:paraId="59000000">
      <w:pPr>
        <w:pStyle w:val="Style_2"/>
        <w:numPr>
          <w:ilvl w:val="0"/>
          <w:numId w:val="6"/>
        </w:num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обязательности – обязательное проведение профилактических мероприятий.</w:t>
      </w:r>
    </w:p>
    <w:p w14:paraId="5A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</w:p>
    <w:p w14:paraId="5B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4. Перечень профилактических мероприятий, сроки (периодичность) их проведения</w:t>
      </w:r>
    </w:p>
    <w:p w14:paraId="5C000000">
      <w:pPr>
        <w:pStyle w:val="Style_2"/>
        <w:widowControl w:val="1"/>
        <w:spacing w:after="0" w:before="0" w:line="240" w:lineRule="auto"/>
        <w:ind w:firstLine="0" w:left="737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Информирование.</w:t>
      </w:r>
    </w:p>
    <w:p w14:paraId="5D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Министерство осуществляет информирование контролируемых лиц и иных заинтересованных лиц по вопросам соблюдения обязательных требований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порядке, установленном статьей 46 Федерального закона № 248-ФЗ.</w:t>
      </w:r>
    </w:p>
    <w:p w14:paraId="5E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Информирование осуществляется посредством размещения соответствующих сведений на официальном сайте Министерства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5F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60000000">
      <w:pPr>
        <w:pStyle w:val="Style_2"/>
        <w:widowControl w:val="1"/>
        <w:spacing w:after="0" w:before="0" w:line="240" w:lineRule="auto"/>
        <w:ind w:firstLine="0" w:left="737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Обобщение правоприменительной практики</w:t>
      </w:r>
    </w:p>
    <w:p w14:paraId="61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Обобщение правоприменительной практики осуществляется посредством подготовки Министерством ежегодного доклада, который утверждается  приказом Министерства до 15 марта года, следующего за отчетным,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в указанный срок размещается на официальном сайте Министерства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информационно-телекоммуникационной сети «Интернет».</w:t>
      </w:r>
    </w:p>
    <w:p w14:paraId="62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63000000">
      <w:pPr>
        <w:pStyle w:val="Style_2"/>
        <w:widowControl w:val="1"/>
        <w:spacing w:after="0" w:before="0" w:line="240" w:lineRule="auto"/>
        <w:ind w:firstLine="0" w:left="737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Объявление предостережения</w:t>
      </w:r>
    </w:p>
    <w:p w14:paraId="64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наличия у Министерства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Министерство объявляет контролируемому лицу предостережение о недопустимости нарушения обязательных требований (далее предостережение) и предлагает принять меры по обеспечению соблюдения обязательных требований.</w:t>
      </w:r>
    </w:p>
    <w:p w14:paraId="65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Предостережение объявляется и направляется контролируемому лицу в порядке, предусмотренном статьей 49 Федерального закона № 248-ФЗ. </w:t>
      </w:r>
    </w:p>
    <w:p w14:paraId="66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подачи и рассмотрения возражения в отношении предостережения установлен положением о региональном контроле в сфере туристской индустрии на территории Камчатского края.</w:t>
      </w:r>
    </w:p>
    <w:p w14:paraId="67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68000000">
      <w:pPr>
        <w:pStyle w:val="Style_2"/>
        <w:widowControl w:val="1"/>
        <w:spacing w:after="0" w:before="0" w:line="240" w:lineRule="auto"/>
        <w:ind w:firstLine="0" w:left="737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Консультирование</w:t>
      </w:r>
    </w:p>
    <w:p w14:paraId="69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Консультирование может осуществляться должностными лицами Министерства по телефону, посредством видеоконференцсвязи, на личном приеме либо в ходе проведения профилактического мероприятия, контрольного (надзорного) мероприятия.</w:t>
      </w:r>
    </w:p>
    <w:p w14:paraId="6A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Контролируемое лицо вправе направить запрос о предоставлении письменного ответа в сроки, установленные Федеральным законом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02.05.2006 № 59-ФЗ «О порядке рассмотрения обращений граждан Российской Федерации».</w:t>
      </w:r>
    </w:p>
    <w:p w14:paraId="6B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Консультирование осуществляется по следующим вопросам:’</w:t>
      </w:r>
    </w:p>
    <w:p w14:paraId="6C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 соблюдении обязательных требований;</w:t>
      </w:r>
    </w:p>
    <w:p w14:paraId="6D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 порядке осуществления регионального государственного контроля (надзора);</w:t>
      </w:r>
    </w:p>
    <w:p w14:paraId="6E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 порядке обжалования решений Министерства, действий (бездействия) должностных лиц Министерства.</w:t>
      </w:r>
    </w:p>
    <w:p w14:paraId="6F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поступления в течение квартала 5 и более однотипных обращений контролируемых лиц и их представителей консультирование осуществляется посредством размещения на официальном, сайте Министерства в сети Интернет письменного разъяснения, подписанного руководителем Министерства или лицом, исполняющим его обязанности.</w:t>
      </w:r>
    </w:p>
    <w:p w14:paraId="70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осуществляет учет проведенных консультирований.</w:t>
      </w:r>
    </w:p>
    <w:p w14:paraId="71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72000000">
      <w:pPr>
        <w:pStyle w:val="Style_2"/>
        <w:widowControl w:val="1"/>
        <w:spacing w:after="0" w:before="0" w:line="240" w:lineRule="auto"/>
        <w:ind w:firstLine="0" w:left="737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Профилактический визит</w:t>
      </w:r>
    </w:p>
    <w:p w14:paraId="73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Профилактический визит проводится должностными лицами Министерства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«Инспектор».</w:t>
      </w:r>
    </w:p>
    <w:p w14:paraId="74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Профилактический визит проводится в порядке и.объеме, определенных статьей 52 Федерального закона № 248-ФЗ. </w:t>
      </w:r>
    </w:p>
    <w:p w14:paraId="75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Обязательный профилактический визит не предусматривает отказ контролируемого лица от проведения обязательного профилактического визита.</w:t>
      </w:r>
    </w:p>
    <w:p w14:paraId="76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Профилактический визит по инициативе контролируемого лица может быть проведен по заявлению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77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контролируемых лиц, в отношении которых проводятся профилактические визиты по заявлениям таких лиц, составляется по форме согласно приложению № 2 к настояще</w:t>
      </w:r>
      <w:r>
        <w:rPr>
          <w:rFonts w:ascii="Times New Roman" w:hAnsi="Times New Roman"/>
          <w:sz w:val="28"/>
        </w:rPr>
        <w:t xml:space="preserve">й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рограмме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подлежит размещению на официальном сайте Министерства.</w:t>
      </w:r>
    </w:p>
    <w:p w14:paraId="78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79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5. Показатели результативности и эффективности программы профилактики рисков причинения вреда</w:t>
      </w:r>
    </w:p>
    <w:p w14:paraId="7A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7B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Отчетные показатели результативности и эффективности профилактических мероприятий в 2026 году:</w:t>
      </w:r>
    </w:p>
    <w:p w14:paraId="7C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доля информации о предоставлении на территории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Камчатского края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 средств размещения, не имеющих действующей классификации, размещенной в сети «Интернет», от среднего числа размещенной в сети «Интернет» информации о предоставлении услуг средств размещения</w:t>
      </w:r>
      <w:r>
        <w:rPr>
          <w:rFonts w:ascii="Times New Roman" w:hAnsi="Times New Roman"/>
          <w:sz w:val="28"/>
        </w:rPr>
        <w:t>;</w:t>
      </w:r>
    </w:p>
    <w:p w14:paraId="7D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снижение доли количества услуг экскурсовода (гида) и гида-переводчика, оказываемых лицами, не имеющими соответствующую аттестацию, на территории Камчатского края</w:t>
      </w:r>
      <w:r>
        <w:rPr>
          <w:rFonts w:ascii="Times New Roman" w:hAnsi="Times New Roman"/>
          <w:sz w:val="28"/>
        </w:rPr>
        <w:t>;</w:t>
      </w:r>
    </w:p>
    <w:p w14:paraId="7E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в) количество физических лиц, погибших или получивших травмы при прохождении туристских маршрутов, требующих специального сопровождения, проходящих по территории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Камчатского края</w:t>
      </w:r>
      <w:r>
        <w:rPr>
          <w:rFonts w:ascii="Times New Roman" w:hAnsi="Times New Roman"/>
          <w:sz w:val="28"/>
        </w:rPr>
        <w:t>, за к</w:t>
      </w:r>
      <w:r>
        <w:rPr>
          <w:rFonts w:ascii="Times New Roman" w:hAnsi="Times New Roman"/>
          <w:sz w:val="28"/>
        </w:rPr>
        <w:t xml:space="preserve">алендарный год </w:t>
      </w:r>
    </w:p>
    <w:p w14:paraId="7F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br w:type="page"/>
      </w:r>
    </w:p>
    <w:p w14:paraId="80000000">
      <w:pPr>
        <w:pStyle w:val="Style_2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 1 к Программе </w:t>
      </w:r>
    </w:p>
    <w:p w14:paraId="81000000">
      <w:pPr>
        <w:pStyle w:val="Style_2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профилактики рисков причинения</w:t>
      </w:r>
    </w:p>
    <w:p w14:paraId="82000000">
      <w:pPr>
        <w:pStyle w:val="Style_2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вреда (ущерба) охраняемым законом </w:t>
      </w:r>
    </w:p>
    <w:p w14:paraId="83000000">
      <w:pPr>
        <w:pStyle w:val="Style_2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ценностям по региональному </w:t>
      </w:r>
    </w:p>
    <w:p w14:paraId="84000000">
      <w:pPr>
        <w:pStyle w:val="Style_2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государственному контролю </w:t>
      </w:r>
    </w:p>
    <w:p w14:paraId="85000000">
      <w:pPr>
        <w:pStyle w:val="Style_2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(надзору) в сфере туристской</w:t>
      </w:r>
    </w:p>
    <w:p w14:paraId="86000000">
      <w:pPr>
        <w:pStyle w:val="Style_2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индустрии на 2025 год</w:t>
      </w:r>
    </w:p>
    <w:p w14:paraId="87000000">
      <w:pPr>
        <w:pStyle w:val="Style_2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88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План-график</w:t>
      </w:r>
    </w:p>
    <w:p w14:paraId="89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sz w:val="24"/>
        </w:rPr>
        <w:t>проведения профилактических мероприятий Министерства туризма Камчатского края, направленных на предупреждение нарушений обязательных требований и предотвращение рисков причинения вреда (ущерба) охраняемым законом ценностям в сфере туристской индустрии на 2026 год</w:t>
      </w:r>
    </w:p>
    <w:p w14:paraId="8A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0"/>
          <w:left w:type="dxa" w:w="10"/>
          <w:bottom w:type="dxa" w:w="0"/>
          <w:right w:type="dxa" w:w="10"/>
        </w:tblCellMar>
      </w:tblPr>
      <w:tblGrid>
        <w:gridCol w:w="573"/>
        <w:gridCol w:w="1719"/>
        <w:gridCol w:w="3888"/>
        <w:gridCol w:w="1720"/>
        <w:gridCol w:w="1721"/>
      </w:tblGrid>
      <w:tr>
        <w:trPr>
          <w:trHeight w:hRule="exact" w:val="846"/>
        </w:trPr>
        <w:tc>
          <w:tcPr>
            <w:tcW w:type="dxa" w:w="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8B000000">
            <w:pPr>
              <w:pStyle w:val="Style_2"/>
              <w:widowControl w:val="0"/>
              <w:spacing w:after="60" w:before="0" w:line="180" w:lineRule="exact"/>
              <w:ind w:firstLine="0" w:left="-21" w:right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0"/>
              </w:rPr>
              <w:t>№</w:t>
            </w:r>
          </w:p>
          <w:p w14:paraId="8C000000">
            <w:pPr>
              <w:pStyle w:val="Style_2"/>
              <w:widowControl w:val="0"/>
              <w:spacing w:after="0" w:before="60" w:line="180" w:lineRule="exact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0"/>
              </w:rPr>
              <w:t>п/п</w:t>
            </w:r>
          </w:p>
        </w:tc>
        <w:tc>
          <w:tcPr>
            <w:tcW w:type="dxa" w:w="17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8D000000">
            <w:pPr>
              <w:pStyle w:val="Style_2"/>
              <w:widowControl w:val="0"/>
              <w:spacing w:after="0" w:before="0" w:line="180" w:lineRule="exact"/>
              <w:ind w:firstLine="0" w:left="-13" w:right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0"/>
              </w:rPr>
              <w:t>Форма мероприятия</w:t>
            </w:r>
          </w:p>
        </w:tc>
        <w:tc>
          <w:tcPr>
            <w:tcW w:type="dxa" w:w="3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8E000000">
            <w:pPr>
              <w:pStyle w:val="Style_2"/>
              <w:widowControl w:val="0"/>
              <w:spacing w:after="0" w:before="0" w:line="180" w:lineRule="exact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0"/>
              </w:rPr>
              <w:t>Наименование мероприятия</w:t>
            </w:r>
          </w:p>
        </w:tc>
        <w:tc>
          <w:tcPr>
            <w:tcW w:type="dxa" w:w="1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8F000000">
            <w:pPr>
              <w:pStyle w:val="Style_2"/>
              <w:widowControl w:val="0"/>
              <w:spacing w:after="60" w:before="0" w:line="180" w:lineRule="exact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0"/>
              </w:rPr>
              <w:t>Сроки</w:t>
            </w:r>
          </w:p>
          <w:p w14:paraId="90000000">
            <w:pPr>
              <w:pStyle w:val="Style_2"/>
              <w:widowControl w:val="0"/>
              <w:spacing w:after="0" w:before="60" w:line="180" w:lineRule="exact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0"/>
              </w:rPr>
              <w:t>исполнения</w:t>
            </w:r>
          </w:p>
        </w:tc>
        <w:tc>
          <w:tcPr>
            <w:tcW w:type="dxa" w:w="1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91000000">
            <w:pPr>
              <w:pStyle w:val="Style_2"/>
              <w:widowControl w:val="0"/>
              <w:spacing w:after="60" w:before="0" w:line="180" w:lineRule="exact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0"/>
              </w:rPr>
              <w:t>Адресаты</w:t>
            </w:r>
          </w:p>
          <w:p w14:paraId="92000000">
            <w:pPr>
              <w:pStyle w:val="Style_2"/>
              <w:widowControl w:val="0"/>
              <w:spacing w:after="0" w:before="60" w:line="180" w:lineRule="exact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0"/>
              </w:rPr>
              <w:t>мероприятий</w:t>
            </w:r>
          </w:p>
        </w:tc>
      </w:tr>
      <w:tr>
        <w:trPr>
          <w:trHeight w:hRule="exact" w:val="482"/>
        </w:trPr>
        <w:tc>
          <w:tcPr>
            <w:tcW w:type="dxa" w:w="9621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93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0"/>
              </w:rPr>
              <w:t>2026 год</w:t>
            </w:r>
          </w:p>
        </w:tc>
      </w:tr>
      <w:tr>
        <w:trPr>
          <w:trHeight w:hRule="exact" w:val="1677"/>
        </w:trPr>
        <w:tc>
          <w:tcPr>
            <w:tcW w:type="dxa" w:w="57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4000000">
            <w:pPr>
              <w:pStyle w:val="Style_2"/>
              <w:widowControl w:val="0"/>
              <w:spacing w:after="0" w:before="0" w:line="180" w:lineRule="exact"/>
              <w:ind w:firstLine="0" w:left="-15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1.</w:t>
            </w:r>
          </w:p>
        </w:tc>
        <w:tc>
          <w:tcPr>
            <w:tcW w:type="dxa" w:w="17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95000000">
            <w:pPr>
              <w:pStyle w:val="Style_2"/>
              <w:widowControl w:val="0"/>
              <w:spacing w:after="0" w:before="0" w:line="180" w:lineRule="exact"/>
              <w:ind w:firstLine="0" w:left="18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Информирование</w:t>
            </w:r>
          </w:p>
          <w:p w14:paraId="96000000">
            <w:pPr>
              <w:pStyle w:val="Style_2"/>
              <w:widowControl w:val="0"/>
              <w:spacing w:after="0" w:before="0" w:line="180" w:lineRule="exact"/>
              <w:ind w:firstLine="0" w:left="18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97000000">
            <w:pPr>
              <w:pStyle w:val="Style_2"/>
              <w:widowControl w:val="0"/>
              <w:spacing w:after="0" w:before="0" w:line="180" w:lineRule="exact"/>
              <w:ind w:firstLine="0" w:left="18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98000000">
            <w:pPr>
              <w:pStyle w:val="Style_2"/>
              <w:widowControl w:val="0"/>
              <w:spacing w:after="0" w:before="0" w:line="180" w:lineRule="exact"/>
              <w:ind w:firstLine="0" w:left="18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99000000">
            <w:pPr>
              <w:pStyle w:val="Style_2"/>
              <w:widowControl w:val="0"/>
              <w:spacing w:after="0" w:before="0" w:line="180" w:lineRule="exact"/>
              <w:ind w:firstLine="0" w:left="18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9A000000">
            <w:pPr>
              <w:pStyle w:val="Style_2"/>
              <w:widowControl w:val="0"/>
              <w:spacing w:after="0" w:before="0" w:line="180" w:lineRule="exact"/>
              <w:ind w:firstLine="0" w:left="18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9B000000">
            <w:pPr>
              <w:pStyle w:val="Style_2"/>
              <w:widowControl w:val="0"/>
              <w:spacing w:after="0" w:before="0" w:line="180" w:lineRule="exact"/>
              <w:ind w:firstLine="0" w:left="18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9C000000">
            <w:pPr>
              <w:pStyle w:val="Style_2"/>
              <w:widowControl w:val="0"/>
              <w:spacing w:after="0" w:before="0" w:line="180" w:lineRule="exact"/>
              <w:ind w:firstLine="0" w:left="18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9D000000">
            <w:pPr>
              <w:pStyle w:val="Style_2"/>
              <w:widowControl w:val="0"/>
              <w:spacing w:after="0" w:before="0" w:line="180" w:lineRule="exact"/>
              <w:ind w:firstLine="0" w:left="18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9E000000">
            <w:pPr>
              <w:pStyle w:val="Style_2"/>
              <w:widowControl w:val="0"/>
              <w:spacing w:after="0" w:before="0" w:line="180" w:lineRule="exact"/>
              <w:ind w:firstLine="0" w:left="18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9F000000">
            <w:pPr>
              <w:pStyle w:val="Style_2"/>
              <w:widowControl w:val="0"/>
              <w:spacing w:after="0" w:before="0" w:line="180" w:lineRule="exact"/>
              <w:ind w:firstLine="0" w:left="18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A0000000">
            <w:pPr>
              <w:pStyle w:val="Style_2"/>
              <w:widowControl w:val="0"/>
              <w:spacing w:after="0" w:before="0" w:line="180" w:lineRule="exact"/>
              <w:ind w:firstLine="0" w:left="18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A1000000">
            <w:pPr>
              <w:pStyle w:val="Style_2"/>
              <w:widowControl w:val="0"/>
              <w:spacing w:after="0" w:before="0" w:line="180" w:lineRule="exact"/>
              <w:ind w:firstLine="0" w:left="18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A2000000">
            <w:pPr>
              <w:pStyle w:val="Style_2"/>
              <w:widowControl w:val="0"/>
              <w:spacing w:after="0" w:before="0" w:line="180" w:lineRule="exact"/>
              <w:ind w:firstLine="0" w:left="18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A3000000">
            <w:pPr>
              <w:pStyle w:val="Style_2"/>
              <w:widowControl w:val="0"/>
              <w:spacing w:after="0" w:before="0" w:line="180" w:lineRule="exact"/>
              <w:ind w:firstLine="0" w:left="18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A4000000">
            <w:pPr>
              <w:pStyle w:val="Style_2"/>
              <w:widowControl w:val="0"/>
              <w:spacing w:after="0" w:before="0" w:line="180" w:lineRule="exact"/>
              <w:ind w:firstLine="0" w:left="18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A5000000">
            <w:pPr>
              <w:pStyle w:val="Style_2"/>
              <w:widowControl w:val="0"/>
              <w:spacing w:after="0" w:before="0" w:line="180" w:lineRule="exact"/>
              <w:ind w:firstLine="0" w:left="18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A6000000">
            <w:pPr>
              <w:pStyle w:val="Style_2"/>
              <w:widowControl w:val="0"/>
              <w:spacing w:after="0" w:before="0" w:line="180" w:lineRule="exact"/>
              <w:ind w:firstLine="0" w:left="18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A7000000">
            <w:pPr>
              <w:pStyle w:val="Style_2"/>
              <w:widowControl w:val="0"/>
              <w:spacing w:after="0" w:before="0" w:line="180" w:lineRule="exact"/>
              <w:ind w:firstLine="0" w:left="18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A8000000">
            <w:pPr>
              <w:pStyle w:val="Style_2"/>
              <w:widowControl w:val="0"/>
              <w:spacing w:after="0" w:before="0" w:line="180" w:lineRule="exact"/>
              <w:ind w:firstLine="0" w:left="18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A9000000">
            <w:pPr>
              <w:pStyle w:val="Style_2"/>
              <w:widowControl w:val="0"/>
              <w:spacing w:after="0" w:before="0" w:line="180" w:lineRule="exact"/>
              <w:ind w:firstLine="0" w:left="18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AA000000">
            <w:pPr>
              <w:pStyle w:val="Style_2"/>
              <w:widowControl w:val="0"/>
              <w:spacing w:after="0" w:before="0" w:line="180" w:lineRule="exact"/>
              <w:ind w:firstLine="0" w:left="18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AB000000">
            <w:pPr>
              <w:pStyle w:val="Style_2"/>
              <w:widowControl w:val="0"/>
              <w:spacing w:after="0" w:before="0" w:line="180" w:lineRule="exact"/>
              <w:ind w:firstLine="0" w:left="18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AC000000">
            <w:pPr>
              <w:pStyle w:val="Style_2"/>
              <w:widowControl w:val="0"/>
              <w:spacing w:after="0" w:before="0" w:line="180" w:lineRule="exact"/>
              <w:ind w:firstLine="0" w:left="18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AD000000">
            <w:pPr>
              <w:pStyle w:val="Style_2"/>
              <w:widowControl w:val="0"/>
              <w:spacing w:after="0" w:before="0" w:line="180" w:lineRule="exact"/>
              <w:ind w:firstLine="0" w:left="18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AE000000">
            <w:pPr>
              <w:pStyle w:val="Style_2"/>
              <w:widowControl w:val="0"/>
              <w:spacing w:after="0" w:before="0" w:line="180" w:lineRule="exact"/>
              <w:ind w:firstLine="0" w:left="18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AF000000">
            <w:pPr>
              <w:pStyle w:val="Style_2"/>
              <w:widowControl w:val="0"/>
              <w:spacing w:after="0" w:before="0" w:line="180" w:lineRule="exact"/>
              <w:ind w:firstLine="0" w:left="18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B0000000">
            <w:pPr>
              <w:pStyle w:val="Style_2"/>
              <w:widowControl w:val="0"/>
              <w:spacing w:after="0" w:before="0" w:line="180" w:lineRule="exact"/>
              <w:ind w:firstLine="0" w:left="18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B1000000">
            <w:pPr>
              <w:pStyle w:val="Style_2"/>
              <w:widowControl w:val="0"/>
              <w:spacing w:after="0" w:before="0" w:line="180" w:lineRule="exact"/>
              <w:ind w:firstLine="0" w:left="18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B2000000">
            <w:pPr>
              <w:pStyle w:val="Style_2"/>
              <w:widowControl w:val="0"/>
              <w:spacing w:after="0" w:before="0" w:line="180" w:lineRule="exact"/>
              <w:ind w:firstLine="0" w:left="18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B3000000">
            <w:pPr>
              <w:pStyle w:val="Style_2"/>
              <w:widowControl w:val="0"/>
              <w:spacing w:after="0" w:before="0" w:line="180" w:lineRule="exact"/>
              <w:ind w:firstLine="0" w:left="18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B4000000">
            <w:pPr>
              <w:pStyle w:val="Style_2"/>
              <w:widowControl w:val="0"/>
              <w:spacing w:after="0" w:before="0" w:line="180" w:lineRule="exact"/>
              <w:ind w:firstLine="0" w:left="18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B5000000">
            <w:pPr>
              <w:pStyle w:val="Style_2"/>
              <w:widowControl w:val="0"/>
              <w:spacing w:after="0" w:before="0" w:line="180" w:lineRule="exact"/>
              <w:ind w:firstLine="0" w:left="18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B6000000">
            <w:pPr>
              <w:pStyle w:val="Style_2"/>
              <w:widowControl w:val="0"/>
              <w:spacing w:after="0" w:before="0" w:line="180" w:lineRule="exact"/>
              <w:ind w:firstLine="0" w:left="18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B7000000">
            <w:pPr>
              <w:pStyle w:val="Style_2"/>
              <w:widowControl w:val="0"/>
              <w:spacing w:after="0" w:before="0" w:line="180" w:lineRule="exact"/>
              <w:ind w:firstLine="0" w:left="18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B8000000">
            <w:pPr>
              <w:pStyle w:val="Style_2"/>
              <w:widowControl w:val="0"/>
              <w:spacing w:after="0" w:before="0" w:line="180" w:lineRule="exact"/>
              <w:ind w:firstLine="0" w:left="18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B9000000">
            <w:pPr>
              <w:pStyle w:val="Style_2"/>
              <w:widowControl w:val="0"/>
              <w:spacing w:after="0" w:before="0" w:line="180" w:lineRule="exact"/>
              <w:ind w:firstLine="0" w:left="18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BA000000">
            <w:pPr>
              <w:pStyle w:val="Style_2"/>
              <w:widowControl w:val="0"/>
              <w:spacing w:after="0" w:before="0" w:line="180" w:lineRule="exact"/>
              <w:ind w:firstLine="0" w:left="18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BB000000">
            <w:pPr>
              <w:pStyle w:val="Style_2"/>
              <w:widowControl w:val="0"/>
              <w:spacing w:after="0" w:before="0" w:line="180" w:lineRule="exact"/>
              <w:ind w:firstLine="0" w:left="18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BC000000">
            <w:pPr>
              <w:pStyle w:val="Style_2"/>
              <w:widowControl w:val="0"/>
              <w:spacing w:after="0" w:before="0" w:line="180" w:lineRule="exact"/>
              <w:ind w:firstLine="0" w:left="18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3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D000000">
            <w:pPr>
              <w:pStyle w:val="Style_2"/>
              <w:widowControl w:val="0"/>
              <w:spacing w:after="0" w:before="0" w:line="220" w:lineRule="exact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Актуализация и размещение на официальном сайте министерства в разделе «Контрольно-надзорная деятельность»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type="dxa" w:w="1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E000000">
            <w:pPr>
              <w:pStyle w:val="Style_2"/>
              <w:widowControl w:val="0"/>
              <w:spacing w:after="0" w:before="0" w:line="220" w:lineRule="exact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По мере принятия или внесения изменений</w:t>
            </w:r>
          </w:p>
        </w:tc>
        <w:tc>
          <w:tcPr>
            <w:tcW w:type="dxa" w:w="1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F000000">
            <w:pPr>
              <w:pStyle w:val="Style_2"/>
              <w:widowControl w:val="0"/>
              <w:spacing w:after="60" w:before="0" w:line="180" w:lineRule="exact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Контролируемые</w:t>
            </w:r>
          </w:p>
          <w:p w14:paraId="C0000000">
            <w:pPr>
              <w:pStyle w:val="Style_2"/>
              <w:widowControl w:val="0"/>
              <w:spacing w:after="0" w:before="60" w:line="180" w:lineRule="exact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лица</w:t>
            </w:r>
          </w:p>
        </w:tc>
      </w:tr>
      <w:tr>
        <w:trPr>
          <w:trHeight w:hRule="exact" w:val="1712"/>
        </w:trPr>
        <w:tc>
          <w:tcPr>
            <w:tcW w:type="dxa" w:w="5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  <w:tc>
          <w:tcPr>
            <w:tcW w:type="dxa" w:w="17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/>
        </w:tc>
        <w:tc>
          <w:tcPr>
            <w:tcW w:type="dxa" w:w="3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1000000">
            <w:pPr>
              <w:pStyle w:val="Style_2"/>
              <w:widowControl w:val="0"/>
              <w:spacing w:after="0" w:before="0" w:line="220" w:lineRule="exact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Подготовка и размещение разъяснительных материалов, информационных писем, руководств по вопросам соблюдения обязательных требований и в средствах массовой информации и на официальном сайте министерства в разделе «Контрольно-надзорная деятельность»</w:t>
            </w:r>
          </w:p>
          <w:p w14:paraId="C2000000">
            <w:pPr>
              <w:pStyle w:val="Style_2"/>
              <w:widowControl w:val="0"/>
              <w:spacing w:after="0" w:before="0" w:line="220" w:lineRule="exact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3000000">
            <w:pPr>
              <w:pStyle w:val="Style_2"/>
              <w:widowControl w:val="0"/>
              <w:spacing w:after="0" w:before="0" w:line="227" w:lineRule="exact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По мере необходимости</w:t>
            </w:r>
          </w:p>
        </w:tc>
        <w:tc>
          <w:tcPr>
            <w:tcW w:type="dxa" w:w="1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4000000">
            <w:pPr>
              <w:pStyle w:val="Style_2"/>
              <w:widowControl w:val="0"/>
              <w:spacing w:after="60" w:before="0" w:line="180" w:lineRule="exact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Контролируемые</w:t>
            </w:r>
          </w:p>
          <w:p w14:paraId="C5000000">
            <w:pPr>
              <w:pStyle w:val="Style_2"/>
              <w:widowControl w:val="0"/>
              <w:spacing w:after="0" w:before="60" w:line="180" w:lineRule="exact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лица</w:t>
            </w:r>
          </w:p>
        </w:tc>
      </w:tr>
      <w:tr>
        <w:trPr>
          <w:trHeight w:hRule="exact" w:val="2005"/>
        </w:trPr>
        <w:tc>
          <w:tcPr>
            <w:tcW w:type="dxa" w:w="5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  <w:tc>
          <w:tcPr>
            <w:tcW w:type="dxa" w:w="17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/>
        </w:tc>
        <w:tc>
          <w:tcPr>
            <w:tcW w:type="dxa" w:w="3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6000000">
            <w:pPr>
              <w:pStyle w:val="Style_2"/>
              <w:widowControl w:val="0"/>
              <w:spacing w:after="0" w:before="0" w:line="220" w:lineRule="exact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Информирование контролируемых лиц путем подготовки и размещения на официальном сайте министерства в разделе «Контрольно-надзорная деятельность»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</w:t>
            </w:r>
          </w:p>
          <w:p w14:paraId="C7000000">
            <w:pPr>
              <w:pStyle w:val="Style_2"/>
              <w:widowControl w:val="0"/>
              <w:spacing w:after="0" w:before="0" w:line="220" w:lineRule="exact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C8000000">
            <w:pPr>
              <w:pStyle w:val="Style_2"/>
              <w:widowControl w:val="0"/>
              <w:spacing w:after="0" w:before="0" w:line="220" w:lineRule="exact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9000000">
            <w:pPr>
              <w:pStyle w:val="Style_2"/>
              <w:widowControl w:val="0"/>
              <w:spacing w:after="0" w:before="0" w:line="220" w:lineRule="exact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По мере опубликования на</w:t>
            </w:r>
          </w:p>
          <w:p w14:paraId="CA000000">
            <w:pPr>
              <w:pStyle w:val="Style_2"/>
              <w:widowControl w:val="0"/>
              <w:spacing w:after="0" w:before="0" w:line="220" w:lineRule="exact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официальных сайтах федеральных органов власти в</w:t>
            </w:r>
          </w:p>
          <w:p w14:paraId="CB000000">
            <w:pPr>
              <w:pStyle w:val="Style_2"/>
              <w:widowControl w:val="0"/>
              <w:spacing w:after="0" w:before="0" w:line="220" w:lineRule="exact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соответствуют ей сфере деятельности</w:t>
            </w:r>
          </w:p>
        </w:tc>
        <w:tc>
          <w:tcPr>
            <w:tcW w:type="dxa" w:w="1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C000000">
            <w:pPr>
              <w:pStyle w:val="Style_2"/>
              <w:widowControl w:val="0"/>
              <w:spacing w:after="60" w:before="0" w:line="180" w:lineRule="exact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Контролируемые</w:t>
            </w:r>
          </w:p>
          <w:p w14:paraId="CD000000">
            <w:pPr>
              <w:pStyle w:val="Style_2"/>
              <w:widowControl w:val="0"/>
              <w:spacing w:after="0" w:before="60" w:line="180" w:lineRule="exact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лица</w:t>
            </w:r>
          </w:p>
        </w:tc>
      </w:tr>
      <w:tr>
        <w:trPr>
          <w:trHeight w:hRule="exact" w:val="1842"/>
        </w:trPr>
        <w:tc>
          <w:tcPr>
            <w:tcW w:type="dxa" w:w="5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  <w:tc>
          <w:tcPr>
            <w:tcW w:type="dxa" w:w="17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/>
        </w:tc>
        <w:tc>
          <w:tcPr>
            <w:tcW w:type="dxa" w:w="3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E000000">
            <w:pPr>
              <w:pStyle w:val="Style_2"/>
              <w:widowControl w:val="0"/>
              <w:spacing w:after="0" w:before="0" w:line="224" w:lineRule="exact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Актуализация информации о порядке и сроках осуществления министерством регионального государственного контроля (надзора) и размещение на официальном сайте в разделе «Контрольно-надзорная деятельность» результатов контрольно-надзорных мероприятий</w:t>
            </w:r>
          </w:p>
          <w:p w14:paraId="CF000000">
            <w:pPr>
              <w:pStyle w:val="Style_2"/>
              <w:widowControl w:val="0"/>
              <w:spacing w:after="0" w:before="0" w:line="224" w:lineRule="exact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0000000">
            <w:pPr>
              <w:pStyle w:val="Style_2"/>
              <w:widowControl w:val="0"/>
              <w:spacing w:after="0" w:before="0" w:line="180" w:lineRule="exact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Постоянно</w:t>
            </w:r>
          </w:p>
        </w:tc>
        <w:tc>
          <w:tcPr>
            <w:tcW w:type="dxa" w:w="1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1000000">
            <w:pPr>
              <w:pStyle w:val="Style_2"/>
              <w:widowControl w:val="0"/>
              <w:spacing w:after="60" w:before="0" w:line="180" w:lineRule="exact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Контролируемые лица</w:t>
            </w:r>
          </w:p>
        </w:tc>
      </w:tr>
      <w:tr>
        <w:trPr>
          <w:trHeight w:hRule="exact" w:val="1983"/>
        </w:trPr>
        <w:tc>
          <w:tcPr>
            <w:tcW w:type="dxa" w:w="57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2000000">
            <w:pPr>
              <w:pStyle w:val="Style_2"/>
              <w:widowControl w:val="0"/>
              <w:spacing w:after="0" w:before="0" w:line="180" w:lineRule="exact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  <w:highlight w:val="white"/>
              </w:rPr>
              <w:t>2.</w:t>
            </w:r>
          </w:p>
        </w:tc>
        <w:tc>
          <w:tcPr>
            <w:tcW w:type="dxa" w:w="17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3000000">
            <w:pPr>
              <w:pStyle w:val="Style_2"/>
              <w:widowControl w:val="0"/>
              <w:spacing w:after="0" w:before="0" w:line="220" w:lineRule="exact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  <w:highlight w:val="white"/>
              </w:rPr>
              <w:t>Обобщение правоприменительной практики</w:t>
            </w:r>
          </w:p>
        </w:tc>
        <w:tc>
          <w:tcPr>
            <w:tcW w:type="dxa" w:w="3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4000000">
            <w:pPr>
              <w:pStyle w:val="Style_2"/>
              <w:widowControl w:val="0"/>
              <w:spacing w:after="0" w:before="0" w:line="220" w:lineRule="exac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  <w:highlight w:val="white"/>
              </w:rPr>
              <w:t>Формирование и размещение на официальном сайте министерства Перечня типичных нарушений обязательных требований, установленных правовыми актами в подконтрольной сфере, выявленных в результате анализа и обобщения правоприменительной практики контрольно-надзорной деятельности</w:t>
            </w:r>
          </w:p>
          <w:p w14:paraId="D5000000">
            <w:pPr>
              <w:pStyle w:val="Style_2"/>
              <w:widowControl w:val="0"/>
              <w:spacing w:after="0" w:before="0" w:line="224" w:lineRule="exact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6000000">
            <w:pPr>
              <w:pStyle w:val="Style_2"/>
              <w:widowControl w:val="0"/>
              <w:spacing w:after="0" w:before="0" w:line="180" w:lineRule="exact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Один раз</w:t>
            </w:r>
          </w:p>
          <w:p w14:paraId="D7000000">
            <w:pPr>
              <w:pStyle w:val="Style_2"/>
              <w:widowControl w:val="0"/>
              <w:spacing w:after="0" w:before="0" w:line="180" w:lineRule="exact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в квартал</w:t>
            </w:r>
          </w:p>
        </w:tc>
        <w:tc>
          <w:tcPr>
            <w:tcW w:type="dxa" w:w="1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8000000">
            <w:pPr>
              <w:pStyle w:val="Style_2"/>
              <w:widowControl w:val="0"/>
              <w:spacing w:after="60" w:before="0" w:line="180" w:lineRule="exact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  <w:highlight w:val="white"/>
              </w:rPr>
              <w:t>Контролируемые</w:t>
            </w:r>
          </w:p>
          <w:p w14:paraId="D9000000">
            <w:pPr>
              <w:pStyle w:val="Style_2"/>
              <w:widowControl w:val="0"/>
              <w:spacing w:after="0" w:before="60" w:line="180" w:lineRule="exact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  <w:highlight w:val="white"/>
              </w:rPr>
              <w:t>лица</w:t>
            </w:r>
          </w:p>
        </w:tc>
      </w:tr>
      <w:tr>
        <w:trPr>
          <w:trHeight w:hRule="exact" w:val="908"/>
        </w:trPr>
        <w:tc>
          <w:tcPr>
            <w:tcW w:type="dxa" w:w="5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  <w:tc>
          <w:tcPr>
            <w:tcW w:type="dxa" w:w="17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  <w:tc>
          <w:tcPr>
            <w:tcW w:type="dxa" w:w="3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A000000">
            <w:pPr>
              <w:pStyle w:val="Style_2"/>
              <w:widowControl w:val="0"/>
              <w:spacing w:after="0" w:before="0" w:line="220" w:lineRule="exac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  <w:highlight w:val="white"/>
              </w:rPr>
              <w:t>Подготовка доклада, содержащего результаты обобщения правоприменительной практики</w:t>
            </w:r>
          </w:p>
          <w:p w14:paraId="DB000000">
            <w:pPr>
              <w:pStyle w:val="Style_2"/>
              <w:widowControl w:val="0"/>
              <w:spacing w:after="0" w:before="0" w:line="220" w:lineRule="exact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C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Один раз в квартал</w:t>
            </w:r>
          </w:p>
        </w:tc>
        <w:tc>
          <w:tcPr>
            <w:tcW w:type="dxa" w:w="1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D000000">
            <w:pPr>
              <w:pStyle w:val="Style_2"/>
              <w:widowControl w:val="0"/>
              <w:spacing w:after="60" w:before="0" w:line="180" w:lineRule="exact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  <w:highlight w:val="white"/>
              </w:rPr>
              <w:t>Контролируемые лица</w:t>
            </w:r>
          </w:p>
        </w:tc>
      </w:tr>
      <w:tr>
        <w:trPr>
          <w:trHeight w:hRule="exact" w:val="1619"/>
        </w:trPr>
        <w:tc>
          <w:tcPr>
            <w:tcW w:type="dxa" w:w="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E000000">
            <w:pPr>
              <w:pStyle w:val="Style_2"/>
              <w:widowControl w:val="1"/>
              <w:spacing w:after="160" w:before="0" w:line="264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  <w:highlight w:val="white"/>
              </w:rPr>
              <w:t>3.</w:t>
            </w:r>
          </w:p>
        </w:tc>
        <w:tc>
          <w:tcPr>
            <w:tcW w:type="dxa" w:w="17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F000000">
            <w:pPr>
              <w:pStyle w:val="Style_2"/>
              <w:widowControl w:val="1"/>
              <w:spacing w:after="160" w:before="0" w:line="264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  <w:highlight w:val="white"/>
              </w:rPr>
              <w:t>Объявление предостережений о недопустимости нарушений обязательных требований</w:t>
            </w:r>
          </w:p>
        </w:tc>
        <w:tc>
          <w:tcPr>
            <w:tcW w:type="dxa" w:w="3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0000000">
            <w:pPr>
              <w:pStyle w:val="Style_2"/>
              <w:widowControl w:val="0"/>
              <w:spacing w:after="0" w:before="0" w:line="220" w:lineRule="exact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  <w:highlight w:val="white"/>
              </w:rPr>
              <w:t>Направление юридическим лицам, индивидуальным предпринимателям предостережений о недопустимости нарушений обязательных требований в подконтрольной сфере</w:t>
            </w:r>
          </w:p>
        </w:tc>
        <w:tc>
          <w:tcPr>
            <w:tcW w:type="dxa" w:w="1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1000000">
            <w:pPr>
              <w:pStyle w:val="Style_2"/>
              <w:widowControl w:val="0"/>
              <w:spacing w:after="36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  <w:highlight w:val="white"/>
              </w:rPr>
              <w:t>По мере получения сведений о признаках нарушений</w:t>
            </w:r>
          </w:p>
        </w:tc>
        <w:tc>
          <w:tcPr>
            <w:tcW w:type="dxa" w:w="1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2000000">
            <w:pPr>
              <w:pStyle w:val="Style_2"/>
              <w:widowControl w:val="0"/>
              <w:spacing w:after="60" w:before="0" w:line="180" w:lineRule="exact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  <w:highlight w:val="white"/>
              </w:rPr>
              <w:t>Контролируемые лица</w:t>
            </w:r>
          </w:p>
        </w:tc>
      </w:tr>
      <w:tr>
        <w:trPr>
          <w:trHeight w:hRule="exact" w:val="1060"/>
        </w:trPr>
        <w:tc>
          <w:tcPr>
            <w:tcW w:type="dxa" w:w="57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3000000">
            <w:pPr>
              <w:pStyle w:val="Style_2"/>
              <w:widowControl w:val="0"/>
              <w:spacing w:after="0" w:before="0" w:line="180" w:lineRule="exact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  <w:highlight w:val="white"/>
              </w:rPr>
              <w:t>4.</w:t>
            </w:r>
          </w:p>
        </w:tc>
        <w:tc>
          <w:tcPr>
            <w:tcW w:type="dxa" w:w="17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E4000000">
            <w:pPr>
              <w:pStyle w:val="Style_2"/>
              <w:widowControl w:val="0"/>
              <w:spacing w:after="0" w:before="0" w:line="220" w:lineRule="exact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  <w:highlight w:val="white"/>
              </w:rPr>
              <w:t>Консультация по вопросам соблюдения обязательных требований</w:t>
            </w:r>
          </w:p>
          <w:p w14:paraId="E5000000">
            <w:pPr>
              <w:pStyle w:val="Style_2"/>
              <w:widowControl w:val="0"/>
              <w:spacing w:after="0" w:before="0" w:line="220" w:lineRule="exac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  <w:highlight w:val="white"/>
              </w:rPr>
            </w:pPr>
          </w:p>
          <w:p w14:paraId="E6000000">
            <w:pPr>
              <w:pStyle w:val="Style_2"/>
              <w:widowControl w:val="0"/>
              <w:spacing w:after="0" w:before="0" w:line="220" w:lineRule="exac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  <w:highlight w:val="white"/>
              </w:rPr>
            </w:pPr>
          </w:p>
          <w:p w14:paraId="E7000000">
            <w:pPr>
              <w:pStyle w:val="Style_2"/>
              <w:widowControl w:val="0"/>
              <w:spacing w:after="0" w:before="0" w:line="220" w:lineRule="exact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  <w:p w14:paraId="E8000000">
            <w:pPr>
              <w:pStyle w:val="Style_2"/>
              <w:widowControl w:val="0"/>
              <w:spacing w:after="0" w:before="0" w:line="220" w:lineRule="exac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  <w:highlight w:val="white"/>
              </w:rPr>
            </w:pPr>
          </w:p>
          <w:p w14:paraId="E9000000">
            <w:pPr>
              <w:pStyle w:val="Style_2"/>
              <w:widowControl w:val="0"/>
              <w:spacing w:after="0" w:before="0" w:line="220" w:lineRule="exac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  <w:highlight w:val="white"/>
              </w:rPr>
            </w:pPr>
          </w:p>
          <w:p w14:paraId="EA000000">
            <w:pPr>
              <w:pStyle w:val="Style_2"/>
              <w:widowControl w:val="0"/>
              <w:spacing w:after="0" w:before="0" w:line="220" w:lineRule="exact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  <w:p w14:paraId="EB000000">
            <w:pPr>
              <w:pStyle w:val="Style_2"/>
              <w:widowControl w:val="0"/>
              <w:spacing w:after="0" w:before="0" w:line="220" w:lineRule="exac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  <w:highlight w:val="white"/>
              </w:rPr>
            </w:pPr>
          </w:p>
          <w:p w14:paraId="EC000000">
            <w:pPr>
              <w:pStyle w:val="Style_2"/>
              <w:widowControl w:val="0"/>
              <w:spacing w:after="0" w:before="0" w:line="220" w:lineRule="exac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  <w:highlight w:val="white"/>
              </w:rPr>
            </w:pPr>
          </w:p>
          <w:p w14:paraId="ED000000">
            <w:pPr>
              <w:pStyle w:val="Style_2"/>
              <w:widowControl w:val="0"/>
              <w:spacing w:after="0" w:before="0" w:line="220" w:lineRule="exact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  <w:p w14:paraId="EE000000">
            <w:pPr>
              <w:pStyle w:val="Style_2"/>
              <w:widowControl w:val="0"/>
              <w:spacing w:after="0" w:before="0" w:line="220" w:lineRule="exac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  <w:highlight w:val="white"/>
              </w:rPr>
            </w:pPr>
          </w:p>
          <w:p w14:paraId="EF000000">
            <w:pPr>
              <w:pStyle w:val="Style_2"/>
              <w:widowControl w:val="0"/>
              <w:spacing w:after="0" w:before="0" w:line="220" w:lineRule="exact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  <w:p w14:paraId="F0000000">
            <w:pPr>
              <w:pStyle w:val="Style_2"/>
              <w:widowControl w:val="0"/>
              <w:spacing w:after="0" w:before="0" w:line="220" w:lineRule="exac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  <w:highlight w:val="white"/>
              </w:rPr>
            </w:pPr>
          </w:p>
          <w:p w14:paraId="F1000000">
            <w:pPr>
              <w:pStyle w:val="Style_2"/>
              <w:widowControl w:val="0"/>
              <w:spacing w:after="0" w:before="0" w:line="220" w:lineRule="exac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  <w:highlight w:val="white"/>
              </w:rPr>
            </w:pPr>
          </w:p>
          <w:p w14:paraId="F2000000">
            <w:pPr>
              <w:pStyle w:val="Style_2"/>
              <w:widowControl w:val="0"/>
              <w:spacing w:after="0" w:before="0" w:line="220" w:lineRule="exact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  <w:p w14:paraId="F3000000">
            <w:pPr>
              <w:pStyle w:val="Style_2"/>
              <w:widowControl w:val="0"/>
              <w:spacing w:after="0" w:before="0" w:line="220" w:lineRule="exac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  <w:highlight w:val="white"/>
              </w:rPr>
            </w:pPr>
          </w:p>
        </w:tc>
        <w:tc>
          <w:tcPr>
            <w:tcW w:type="dxa" w:w="3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4000000">
            <w:pPr>
              <w:pStyle w:val="Style_2"/>
              <w:widowControl w:val="0"/>
              <w:spacing w:after="0" w:before="0" w:line="224" w:lineRule="exact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  <w:highlight w:val="white"/>
              </w:rPr>
              <w:t>Проведение консультаций контролируемых лиц по вопросам соблюдения обязательных требований</w:t>
            </w:r>
          </w:p>
        </w:tc>
        <w:tc>
          <w:tcPr>
            <w:tcW w:type="dxa" w:w="1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5000000">
            <w:pPr>
              <w:pStyle w:val="Style_2"/>
              <w:widowControl w:val="0"/>
              <w:spacing w:after="0" w:before="0" w:line="220" w:lineRule="exac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  <w:highlight w:val="white"/>
              </w:rPr>
              <w:t xml:space="preserve">По мере поступления </w:t>
            </w:r>
          </w:p>
          <w:p w14:paraId="F6000000">
            <w:pPr>
              <w:pStyle w:val="Style_2"/>
              <w:widowControl w:val="0"/>
              <w:spacing w:after="0" w:before="0" w:line="224" w:lineRule="exact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  <w:highlight w:val="white"/>
              </w:rPr>
              <w:t>обращений</w:t>
            </w:r>
          </w:p>
        </w:tc>
        <w:tc>
          <w:tcPr>
            <w:tcW w:type="dxa" w:w="1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7000000">
            <w:pPr>
              <w:pStyle w:val="Style_2"/>
              <w:widowControl w:val="0"/>
              <w:spacing w:after="60" w:before="0" w:line="180" w:lineRule="exact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  <w:highlight w:val="white"/>
              </w:rPr>
              <w:t>Контролируемые лица</w:t>
            </w:r>
          </w:p>
        </w:tc>
      </w:tr>
      <w:tr>
        <w:trPr>
          <w:trHeight w:hRule="exact" w:val="960"/>
        </w:trPr>
        <w:tc>
          <w:tcPr>
            <w:tcW w:type="dxa" w:w="5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  <w:tc>
          <w:tcPr>
            <w:tcW w:type="dxa" w:w="17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/>
        </w:tc>
        <w:tc>
          <w:tcPr>
            <w:tcW w:type="dxa" w:w="3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8000000">
            <w:pPr>
              <w:pStyle w:val="Style_2"/>
              <w:widowControl w:val="0"/>
              <w:spacing w:after="0" w:before="0" w:line="220" w:lineRule="exact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  <w:highlight w:val="white"/>
              </w:rPr>
              <w:t>Проведение приемов, в рамках которых разъясняются обязательные требования</w:t>
            </w:r>
          </w:p>
        </w:tc>
        <w:tc>
          <w:tcPr>
            <w:tcW w:type="dxa" w:w="1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9000000">
            <w:pPr>
              <w:pStyle w:val="Style_2"/>
              <w:widowControl w:val="0"/>
              <w:spacing w:after="0" w:before="0" w:line="220" w:lineRule="exact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  <w:highlight w:val="white"/>
              </w:rPr>
              <w:t>По мере необходимости</w:t>
            </w:r>
          </w:p>
        </w:tc>
        <w:tc>
          <w:tcPr>
            <w:tcW w:type="dxa" w:w="1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A000000">
            <w:pPr>
              <w:pStyle w:val="Style_2"/>
              <w:widowControl w:val="0"/>
              <w:spacing w:after="60" w:before="0" w:line="180" w:lineRule="exact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  <w:highlight w:val="white"/>
              </w:rPr>
              <w:t>Контролируемые лица</w:t>
            </w:r>
          </w:p>
        </w:tc>
      </w:tr>
      <w:tr>
        <w:trPr>
          <w:trHeight w:hRule="exact" w:val="931"/>
        </w:trPr>
        <w:tc>
          <w:tcPr>
            <w:tcW w:type="dxa" w:w="5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  <w:tc>
          <w:tcPr>
            <w:tcW w:type="dxa" w:w="17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/>
        </w:tc>
        <w:tc>
          <w:tcPr>
            <w:tcW w:type="dxa" w:w="3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B000000">
            <w:pPr>
              <w:pStyle w:val="Style_2"/>
              <w:widowControl w:val="0"/>
              <w:spacing w:after="0" w:before="0" w:line="220" w:lineRule="exact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  <w:highlight w:val="white"/>
              </w:rPr>
              <w:t>Информирование по вопросам соблюдения обязательных требований на семинарах (вебинарах)</w:t>
            </w:r>
          </w:p>
        </w:tc>
        <w:tc>
          <w:tcPr>
            <w:tcW w:type="dxa" w:w="1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C000000">
            <w:pPr>
              <w:pStyle w:val="Style_2"/>
              <w:widowControl w:val="0"/>
              <w:spacing w:after="0" w:before="0" w:line="220" w:lineRule="exact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  <w:highlight w:val="white"/>
              </w:rPr>
              <w:t>По мере необходимости</w:t>
            </w:r>
          </w:p>
        </w:tc>
        <w:tc>
          <w:tcPr>
            <w:tcW w:type="dxa" w:w="1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D000000">
            <w:pPr>
              <w:pStyle w:val="Style_2"/>
              <w:widowControl w:val="0"/>
              <w:spacing w:after="60" w:before="0" w:line="180" w:lineRule="exact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  <w:highlight w:val="white"/>
              </w:rPr>
              <w:t>Контролируемые лица</w:t>
            </w:r>
          </w:p>
        </w:tc>
      </w:tr>
      <w:tr>
        <w:trPr>
          <w:trHeight w:hRule="exact" w:val="1467"/>
        </w:trPr>
        <w:tc>
          <w:tcPr>
            <w:tcW w:type="dxa" w:w="5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  <w:tc>
          <w:tcPr>
            <w:tcW w:type="dxa" w:w="17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/>
        </w:tc>
        <w:tc>
          <w:tcPr>
            <w:tcW w:type="dxa" w:w="3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E000000">
            <w:pPr>
              <w:pStyle w:val="Style_2"/>
              <w:widowControl w:val="0"/>
              <w:spacing w:after="0" w:before="0" w:line="220" w:lineRule="exact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  <w:highlight w:val="white"/>
              </w:rPr>
              <w:t>Проведение разъяснительной работы относительно процедур контроля (надзора) в части предоставления контролируемым лицам информации об их правах и обязанностях при проведении контрольных (надзорных) мероприятий</w:t>
            </w:r>
          </w:p>
        </w:tc>
        <w:tc>
          <w:tcPr>
            <w:tcW w:type="dxa" w:w="1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F000000">
            <w:pPr>
              <w:pStyle w:val="Style_2"/>
              <w:widowControl w:val="0"/>
              <w:spacing w:after="0" w:before="0" w:line="220" w:lineRule="exact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  <w:highlight w:val="white"/>
              </w:rPr>
              <w:t>По мере поступления от контролируемых лиц соответствуют их обращений</w:t>
            </w:r>
          </w:p>
        </w:tc>
        <w:tc>
          <w:tcPr>
            <w:tcW w:type="dxa" w:w="1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0010000">
            <w:pPr>
              <w:pStyle w:val="Style_2"/>
              <w:widowControl w:val="0"/>
              <w:spacing w:after="60" w:before="0" w:line="180" w:lineRule="exact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  <w:highlight w:val="white"/>
              </w:rPr>
              <w:t>Контролируемые лица</w:t>
            </w:r>
          </w:p>
        </w:tc>
      </w:tr>
      <w:tr>
        <w:trPr>
          <w:trHeight w:hRule="exact" w:val="2557"/>
        </w:trPr>
        <w:tc>
          <w:tcPr>
            <w:tcW w:type="dxa" w:w="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1010000">
            <w:pPr>
              <w:pStyle w:val="Style_2"/>
              <w:widowControl w:val="0"/>
              <w:spacing w:after="0" w:before="0" w:line="180" w:lineRule="exact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  <w:highlight w:val="white"/>
              </w:rPr>
              <w:t>5.</w:t>
            </w:r>
          </w:p>
        </w:tc>
        <w:tc>
          <w:tcPr>
            <w:tcW w:type="dxa" w:w="17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2010000">
            <w:pPr>
              <w:pStyle w:val="Style_2"/>
              <w:widowControl w:val="0"/>
              <w:spacing w:after="0" w:before="0" w:line="224" w:lineRule="exact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  <w:highlight w:val="white"/>
              </w:rPr>
              <w:t>Проведение профилактических визитов (обязательных профилактических визитов)</w:t>
            </w:r>
          </w:p>
        </w:tc>
        <w:tc>
          <w:tcPr>
            <w:tcW w:type="dxa" w:w="3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3010000">
            <w:pPr>
              <w:pStyle w:val="Style_2"/>
              <w:widowControl w:val="0"/>
              <w:spacing w:after="0" w:before="0" w:line="220" w:lineRule="exact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  <w:highlight w:val="white"/>
              </w:rPr>
              <w:t>Проведение профилактических визитов в отношении контролируемых лиц, в том числе в отношении контролируемых лиц, приступающих к осуществлению деятельности в сфере туризма</w:t>
            </w:r>
          </w:p>
        </w:tc>
        <w:tc>
          <w:tcPr>
            <w:tcW w:type="dxa" w:w="1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4010000">
            <w:pPr>
              <w:pStyle w:val="Style_2"/>
              <w:widowControl w:val="0"/>
              <w:spacing w:after="0" w:before="0" w:line="220" w:lineRule="exact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По мере необходимости</w:t>
            </w:r>
          </w:p>
        </w:tc>
        <w:tc>
          <w:tcPr>
            <w:tcW w:type="dxa" w:w="1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5010000">
            <w:pPr>
              <w:pStyle w:val="Style_2"/>
              <w:widowControl w:val="0"/>
              <w:spacing w:after="60" w:before="0" w:line="180" w:lineRule="exact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  <w:highlight w:val="white"/>
              </w:rPr>
              <w:t>Контролируемые лица</w:t>
            </w:r>
          </w:p>
        </w:tc>
      </w:tr>
    </w:tbl>
    <w:p w14:paraId="06010000">
      <w:pPr>
        <w:pStyle w:val="Style_2"/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8"/>
        </w:rPr>
      </w:pPr>
    </w:p>
    <w:p w14:paraId="07010000">
      <w:pPr>
        <w:pStyle w:val="Style_2"/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8"/>
        </w:rPr>
      </w:pPr>
      <w:r>
        <w:br w:type="page"/>
      </w:r>
    </w:p>
    <w:p w14:paraId="08010000">
      <w:pPr>
        <w:pStyle w:val="Style_2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 1 к Программе </w:t>
      </w:r>
    </w:p>
    <w:p w14:paraId="09010000">
      <w:pPr>
        <w:pStyle w:val="Style_2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профилактики рисков причинения</w:t>
      </w:r>
    </w:p>
    <w:p w14:paraId="0A010000">
      <w:pPr>
        <w:pStyle w:val="Style_2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реда (ущерба) охраняемым законом </w:t>
      </w:r>
    </w:p>
    <w:p w14:paraId="0B010000">
      <w:pPr>
        <w:pStyle w:val="Style_2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ценностям по региональному </w:t>
      </w:r>
    </w:p>
    <w:p w14:paraId="0C010000">
      <w:pPr>
        <w:pStyle w:val="Style_2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государственному контролю </w:t>
      </w:r>
    </w:p>
    <w:p w14:paraId="0D010000">
      <w:pPr>
        <w:pStyle w:val="Style_2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(надзору) в сфере туристской</w:t>
      </w:r>
    </w:p>
    <w:p w14:paraId="0E010000">
      <w:pPr>
        <w:pStyle w:val="Style_2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индустрии на 2026 год</w:t>
      </w:r>
    </w:p>
    <w:p w14:paraId="0F010000">
      <w:pPr>
        <w:pStyle w:val="Style_2"/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8"/>
        </w:rPr>
      </w:pPr>
    </w:p>
    <w:p w14:paraId="10010000">
      <w:pPr>
        <w:pStyle w:val="Style_2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11010000">
      <w:pPr>
        <w:pStyle w:val="Style_2"/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8"/>
        </w:rPr>
      </w:pPr>
    </w:p>
    <w:p w14:paraId="1201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Перечень контролируемых лиц, в отношении которых проводятся профилактические визиты, по заявлениям таких лиц</w:t>
      </w:r>
    </w:p>
    <w:p w14:paraId="13010000">
      <w:pPr>
        <w:pStyle w:val="Style_2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14010000">
      <w:pPr>
        <w:pStyle w:val="Style_2"/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8"/>
        </w:rPr>
      </w:pPr>
    </w:p>
    <w:tbl>
      <w:tblPr>
        <w:tblStyle w:val="Style_3"/>
        <w:tblpPr w:bottomFromText="0" w:horzAnchor="page" w:leftFromText="180" w:rightFromText="180" w:tblpXSpec="center" w:tblpY="178" w:topFromText="0" w:vertAnchor="text"/>
        <w:tblW w:type="auto" w:w="0"/>
        <w:jc w:val="center"/>
        <w:tblInd w:type="dxa" w:w="0"/>
        <w:tblLayout w:type="fixed"/>
        <w:tblCellMar>
          <w:top w:type="dxa" w:w="0"/>
          <w:left w:type="dxa" w:w="10"/>
          <w:bottom w:type="dxa" w:w="0"/>
          <w:right w:type="dxa" w:w="10"/>
        </w:tblCellMar>
      </w:tblPr>
      <w:tblGrid>
        <w:gridCol w:w="495"/>
        <w:gridCol w:w="2565"/>
        <w:gridCol w:w="705"/>
        <w:gridCol w:w="1200"/>
        <w:gridCol w:w="2205"/>
        <w:gridCol w:w="2565"/>
      </w:tblGrid>
      <w:tr>
        <w:trPr>
          <w:trHeight w:hRule="exact" w:val="2000"/>
        </w:trPr>
        <w:tc>
          <w:tcPr>
            <w:tcW w:type="dxa" w:w="495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15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№</w:t>
            </w:r>
          </w:p>
        </w:tc>
        <w:tc>
          <w:tcPr>
            <w:tcW w:type="dxa" w:w="2565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16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Наименование контролируемого лица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17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ИНН</w:t>
            </w: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18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КПП</w:t>
            </w: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19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Дата регистрации заявления о проведении профилактического визита</w:t>
            </w:r>
          </w:p>
        </w:tc>
        <w:tc>
          <w:tcPr>
            <w:tcW w:type="dxa" w:w="256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1A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Дата решения о проведении профилактического визита</w:t>
            </w:r>
          </w:p>
        </w:tc>
      </w:tr>
      <w:tr>
        <w:trPr>
          <w:trHeight w:hRule="exact" w:val="558"/>
        </w:trPr>
        <w:tc>
          <w:tcPr>
            <w:tcW w:type="dxa" w:w="495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B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565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C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D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E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F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56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0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exact" w:val="566"/>
        </w:trPr>
        <w:tc>
          <w:tcPr>
            <w:tcW w:type="dxa" w:w="495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1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565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2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3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4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5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56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6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exact" w:val="574"/>
        </w:trPr>
        <w:tc>
          <w:tcPr>
            <w:tcW w:type="dxa" w:w="4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7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5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8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9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A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B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C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</w:tbl>
    <w:p w14:paraId="2D01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sectPr>
      <w:headerReference r:id="rId1" w:type="default"/>
      <w:type w:val="nextPage"/>
      <w:pgSz w:h="16838" w:orient="portrait" w:w="11906"/>
      <w:pgMar w:bottom="1134" w:footer="0" w:gutter="0" w:header="709" w:left="1418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360" w:left="6480"/>
      </w:pPr>
    </w:lvl>
  </w:abstractNum>
  <w:abstractNum w:abstractNumId="1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360" w:left="64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360" w:left="64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leader="none" w:pos="0" w:val="left"/>
        </w:tabs>
        <w:ind w:hanging="360" w:left="720"/>
      </w:pPr>
    </w:lvl>
    <w:lvl w:ilvl="1">
      <w:start w:val="1"/>
      <w:numFmt w:val="russianLower"/>
      <w:lvlText w:val="%2)"/>
      <w:lvlJc w:val="left"/>
      <w:pPr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)"/>
      <w:lvlJc w:val="right"/>
      <w:pPr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)"/>
      <w:lvlJc w:val="left"/>
      <w:pPr>
        <w:tabs>
          <w:tab w:leader="none" w:pos="0" w:val="left"/>
        </w:tabs>
        <w:ind w:hanging="360" w:left="2880"/>
      </w:pPr>
    </w:lvl>
    <w:lvl w:ilvl="4">
      <w:start w:val="1"/>
      <w:numFmt w:val="russianLower"/>
      <w:lvlText w:val="%5)"/>
      <w:lvlJc w:val="left"/>
      <w:pPr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)"/>
      <w:lvlJc w:val="right"/>
      <w:pPr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040"/>
      </w:pPr>
    </w:lvl>
    <w:lvl w:ilvl="7">
      <w:start w:val="1"/>
      <w:numFmt w:val="russianLower"/>
      <w:lvlText w:val="%8."/>
      <w:lvlJc w:val="left"/>
      <w:pPr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360" w:left="6480"/>
      </w:pPr>
    </w:lvl>
  </w:abstractNum>
  <w:abstractNum w:abstractNumId="4">
    <w:lvl w:ilvl="0">
      <w:start w:val="1"/>
      <w:numFmt w:val="decimal"/>
      <w:lvlText w:val="%1)"/>
      <w:pPr>
        <w:ind w:hanging="360" w:left="720"/>
      </w:pPr>
    </w:lvl>
    <w:lvl w:ilvl="1">
      <w:start w:val="1"/>
      <w:numFmt w:val="lowerLetter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decimal"/>
      <w:lvlText w:val="%4)"/>
      <w:pPr>
        <w:ind w:hanging="360" w:left="2880"/>
      </w:pPr>
    </w:lvl>
    <w:lvl w:ilvl="4">
      <w:start w:val="1"/>
      <w:numFmt w:val="lowerLetter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5">
    <w:lvl w:ilvl="0">
      <w:start w:val="1"/>
      <w:numFmt w:val="decimal"/>
      <w:lvlText w:val="%1)"/>
      <w:lvlJc w:val="left"/>
      <w:pPr>
        <w:tabs>
          <w:tab w:leader="none" w:pos="0" w:val="left"/>
        </w:tabs>
        <w:ind w:hanging="360" w:left="720"/>
      </w:pPr>
      <w:rPr>
        <w:rFonts w:ascii="Times New Roman" w:hAnsi="Times New Roman"/>
        <w:sz w:val="28"/>
      </w:rPr>
    </w:lvl>
    <w:lvl w:ilvl="1">
      <w:start w:val="1"/>
      <w:numFmt w:val="decimal"/>
      <w:lvlText w:val="%2)"/>
      <w:lvlJc w:val="left"/>
      <w:pPr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)"/>
      <w:lvlJc w:val="right"/>
      <w:pPr>
        <w:tabs>
          <w:tab w:leader="none" w:pos="0" w:val="left"/>
        </w:tabs>
        <w:ind w:hanging="360" w:left="2160"/>
      </w:pPr>
    </w:lvl>
    <w:lvl w:ilvl="3">
      <w:start w:val="1"/>
      <w:numFmt w:val="russianLower"/>
      <w:lvlText w:val="%4)"/>
      <w:lvlJc w:val="left"/>
      <w:pPr>
        <w:tabs>
          <w:tab w:leader="none" w:pos="0" w:val="left"/>
        </w:tabs>
        <w:ind w:hanging="360" w:left="2880"/>
      </w:pPr>
    </w:lvl>
    <w:lvl w:ilvl="4">
      <w:start w:val="1"/>
      <w:numFmt w:val="decimal"/>
      <w:lvlText w:val="%5)"/>
      <w:lvlJc w:val="left"/>
      <w:pPr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)"/>
      <w:lvlJc w:val="right"/>
      <w:pPr>
        <w:tabs>
          <w:tab w:leader="none" w:pos="0" w:val="left"/>
        </w:tabs>
        <w:ind w:hanging="360" w:left="4320"/>
      </w:pPr>
    </w:lvl>
    <w:lvl w:ilvl="6">
      <w:start w:val="1"/>
      <w:numFmt w:val="russianLower"/>
      <w:lvlText w:val="%7)"/>
      <w:lvlJc w:val="left"/>
      <w:pPr>
        <w:tabs>
          <w:tab w:leader="none" w:pos="0" w:val="left"/>
        </w:tabs>
        <w:ind w:hanging="360" w:left="5040"/>
      </w:pPr>
    </w:lvl>
    <w:lvl w:ilvl="7">
      <w:start w:val="1"/>
      <w:numFmt w:val="decimal"/>
      <w:lvlText w:val="%8)"/>
      <w:lvlJc w:val="left"/>
      <w:pPr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)"/>
      <w:lvlJc w:val="right"/>
      <w:pPr>
        <w:tabs>
          <w:tab w:leader="none" w:pos="0" w:val="left"/>
        </w:tabs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pacing w:val="0"/>
      <w:sz w:val="22"/>
    </w:rPr>
  </w:style>
  <w:style w:styleId="Style_5" w:type="paragraph">
    <w:name w:val="toc 2"/>
    <w:next w:val="Style_2"/>
    <w:link w:val="Style_5_ch"/>
    <w:uiPriority w:val="39"/>
    <w:pPr>
      <w:widowControl w:val="1"/>
      <w:spacing w:after="160" w:before="0" w:line="264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2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toc 4"/>
    <w:next w:val="Style_2"/>
    <w:link w:val="Style_6_ch"/>
    <w:uiPriority w:val="39"/>
    <w:pPr>
      <w:widowControl w:val="1"/>
      <w:spacing w:after="160" w:before="0" w:line="264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4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Footnote1"/>
    <w:link w:val="Style_7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7_ch" w:type="character">
    <w:name w:val="Footnote1"/>
    <w:link w:val="Style_7"/>
    <w:rPr>
      <w:rFonts w:ascii="XO Thames" w:hAnsi="XO Thames"/>
      <w:color w:val="000000"/>
      <w:spacing w:val="0"/>
      <w:sz w:val="22"/>
    </w:rPr>
  </w:style>
  <w:style w:styleId="Style_8" w:type="paragraph">
    <w:name w:val="Balloon Text1"/>
    <w:basedOn w:val="Style_2"/>
    <w:link w:val="Style_8_ch"/>
    <w:pPr>
      <w:spacing w:after="0" w:before="0" w:line="240" w:lineRule="auto"/>
      <w:ind/>
    </w:pPr>
    <w:rPr>
      <w:rFonts w:ascii="Segoe UI" w:hAnsi="Segoe UI"/>
      <w:sz w:val="18"/>
    </w:rPr>
  </w:style>
  <w:style w:styleId="Style_8_ch" w:type="character">
    <w:name w:val="Balloon Text1"/>
    <w:basedOn w:val="Style_2_ch"/>
    <w:link w:val="Style_8"/>
    <w:rPr>
      <w:rFonts w:ascii="Segoe UI" w:hAnsi="Segoe UI"/>
      <w:sz w:val="18"/>
    </w:rPr>
  </w:style>
  <w:style w:styleId="Style_9" w:type="paragraph">
    <w:name w:val="toc 6"/>
    <w:next w:val="Style_2"/>
    <w:link w:val="Style_9_ch"/>
    <w:uiPriority w:val="39"/>
    <w:pPr>
      <w:widowControl w:val="1"/>
      <w:spacing w:after="160" w:before="0" w:line="264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6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toc 7"/>
    <w:next w:val="Style_2"/>
    <w:link w:val="Style_10_ch"/>
    <w:uiPriority w:val="39"/>
    <w:pPr>
      <w:widowControl w:val="1"/>
      <w:spacing w:after="160" w:before="0" w:line="264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7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Body Text"/>
    <w:basedOn w:val="Style_2"/>
    <w:link w:val="Style_11_ch"/>
    <w:pPr>
      <w:spacing w:after="140" w:before="0" w:line="276" w:lineRule="auto"/>
      <w:ind/>
    </w:pPr>
  </w:style>
  <w:style w:styleId="Style_11_ch" w:type="character">
    <w:name w:val="Body Text"/>
    <w:basedOn w:val="Style_2_ch"/>
    <w:link w:val="Style_11"/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2"/>
    <w:link w:val="Style_13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3_ch" w:type="character">
    <w:name w:val="heading 3"/>
    <w:link w:val="Style_13"/>
    <w:rPr>
      <w:rFonts w:ascii="XO Thames" w:hAnsi="XO Thames"/>
      <w:b w:val="1"/>
      <w:color w:val="000000"/>
      <w:spacing w:val="0"/>
      <w:sz w:val="26"/>
    </w:rPr>
  </w:style>
  <w:style w:styleId="Style_14" w:type="paragraph">
    <w:name w:val="Heading 31"/>
    <w:link w:val="Style_14_ch"/>
    <w:rPr>
      <w:rFonts w:ascii="XO Thames" w:hAnsi="XO Thames"/>
      <w:b w:val="1"/>
      <w:sz w:val="26"/>
    </w:rPr>
  </w:style>
  <w:style w:styleId="Style_14_ch" w:type="character">
    <w:name w:val="Heading 31"/>
    <w:link w:val="Style_14"/>
    <w:rPr>
      <w:rFonts w:ascii="XO Thames" w:hAnsi="XO Thames"/>
      <w:b w:val="1"/>
      <w:sz w:val="26"/>
    </w:rPr>
  </w:style>
  <w:style w:styleId="Style_15" w:type="paragraph">
    <w:name w:val="Caption"/>
    <w:basedOn w:val="Style_2"/>
    <w:link w:val="Style_15_ch"/>
    <w:pPr>
      <w:spacing w:after="120" w:before="120"/>
      <w:ind/>
    </w:pPr>
    <w:rPr>
      <w:i w:val="1"/>
      <w:sz w:val="24"/>
    </w:rPr>
  </w:style>
  <w:style w:styleId="Style_15_ch" w:type="character">
    <w:name w:val="Caption"/>
    <w:basedOn w:val="Style_2_ch"/>
    <w:link w:val="Style_15"/>
    <w:rPr>
      <w:i w:val="1"/>
      <w:sz w:val="24"/>
    </w:rPr>
  </w:style>
  <w:style w:styleId="Style_16" w:type="paragraph">
    <w:name w:val="Header1"/>
    <w:link w:val="Style_16_ch"/>
  </w:style>
  <w:style w:styleId="Style_16_ch" w:type="character">
    <w:name w:val="Header1"/>
    <w:link w:val="Style_16"/>
  </w:style>
  <w:style w:styleId="Style_17" w:type="paragraph">
    <w:name w:val="Contents 9"/>
    <w:link w:val="Style_17_ch"/>
    <w:rPr>
      <w:rFonts w:ascii="XO Thames" w:hAnsi="XO Thames"/>
      <w:sz w:val="28"/>
    </w:rPr>
  </w:style>
  <w:style w:styleId="Style_17_ch" w:type="character">
    <w:name w:val="Contents 9"/>
    <w:link w:val="Style_17"/>
    <w:rPr>
      <w:rFonts w:ascii="XO Thames" w:hAnsi="XO Thames"/>
      <w:sz w:val="28"/>
    </w:rPr>
  </w:style>
  <w:style w:styleId="Style_18" w:type="paragraph">
    <w:name w:val="Указатель"/>
    <w:basedOn w:val="Style_2"/>
    <w:link w:val="Style_18_ch"/>
  </w:style>
  <w:style w:styleId="Style_18_ch" w:type="character">
    <w:name w:val="Указатель"/>
    <w:basedOn w:val="Style_2_ch"/>
    <w:link w:val="Style_18"/>
  </w:style>
  <w:style w:styleId="Style_19" w:type="paragraph">
    <w:name w:val="Internet link"/>
    <w:basedOn w:val="Style_20"/>
    <w:link w:val="Style_19_ch"/>
    <w:rPr>
      <w:color w:themeColor="hyperlink" w:val="0563C1"/>
      <w:u w:val="single"/>
    </w:rPr>
  </w:style>
  <w:style w:styleId="Style_19_ch" w:type="character">
    <w:name w:val="Internet link"/>
    <w:basedOn w:val="Style_20_ch"/>
    <w:link w:val="Style_19"/>
    <w:rPr>
      <w:color w:themeColor="hyperlink" w:val="0563C1"/>
      <w:u w:val="single"/>
    </w:rPr>
  </w:style>
  <w:style w:styleId="Style_21" w:type="paragraph">
    <w:name w:val="Heading 51"/>
    <w:link w:val="Style_21_ch"/>
    <w:rPr>
      <w:rFonts w:ascii="XO Thames" w:hAnsi="XO Thames"/>
      <w:b w:val="1"/>
      <w:sz w:val="22"/>
    </w:rPr>
  </w:style>
  <w:style w:styleId="Style_21_ch" w:type="character">
    <w:name w:val="Heading 51"/>
    <w:link w:val="Style_21"/>
    <w:rPr>
      <w:rFonts w:ascii="XO Thames" w:hAnsi="XO Thames"/>
      <w:b w:val="1"/>
      <w:sz w:val="22"/>
    </w:rPr>
  </w:style>
  <w:style w:styleId="Style_22" w:type="paragraph">
    <w:name w:val="Contents 5"/>
    <w:link w:val="Style_22_ch"/>
    <w:rPr>
      <w:rFonts w:ascii="XO Thames" w:hAnsi="XO Thames"/>
      <w:sz w:val="28"/>
    </w:rPr>
  </w:style>
  <w:style w:styleId="Style_22_ch" w:type="character">
    <w:name w:val="Contents 5"/>
    <w:link w:val="Style_22"/>
    <w:rPr>
      <w:rFonts w:ascii="XO Thames" w:hAnsi="XO Thames"/>
      <w:sz w:val="28"/>
    </w:rPr>
  </w:style>
  <w:style w:styleId="Style_23" w:type="paragraph">
    <w:name w:val="List"/>
    <w:basedOn w:val="Style_11"/>
    <w:link w:val="Style_23_ch"/>
  </w:style>
  <w:style w:styleId="Style_23_ch" w:type="character">
    <w:name w:val="List"/>
    <w:basedOn w:val="Style_11_ch"/>
    <w:link w:val="Style_23"/>
  </w:style>
  <w:style w:styleId="Style_24" w:type="paragraph">
    <w:name w:val="toc 3"/>
    <w:next w:val="Style_2"/>
    <w:link w:val="Style_24_ch"/>
    <w:uiPriority w:val="39"/>
    <w:pPr>
      <w:widowControl w:val="1"/>
      <w:spacing w:after="160" w:before="0" w:line="264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4_ch" w:type="character">
    <w:name w:val="toc 3"/>
    <w:link w:val="Style_24"/>
    <w:rPr>
      <w:rFonts w:ascii="XO Thames" w:hAnsi="XO Thames"/>
      <w:color w:val="000000"/>
      <w:spacing w:val="0"/>
      <w:sz w:val="28"/>
    </w:rPr>
  </w:style>
  <w:style w:styleId="Style_25" w:type="paragraph">
    <w:name w:val="Contents 1"/>
    <w:link w:val="Style_25_ch"/>
    <w:rPr>
      <w:rFonts w:ascii="XO Thames" w:hAnsi="XO Thames"/>
      <w:b w:val="1"/>
      <w:sz w:val="28"/>
    </w:rPr>
  </w:style>
  <w:style w:styleId="Style_25_ch" w:type="character">
    <w:name w:val="Contents 1"/>
    <w:link w:val="Style_25"/>
    <w:rPr>
      <w:rFonts w:ascii="XO Thames" w:hAnsi="XO Thames"/>
      <w:b w:val="1"/>
      <w:sz w:val="28"/>
    </w:rPr>
  </w:style>
  <w:style w:styleId="Style_26" w:type="paragraph">
    <w:name w:val="Heading 21"/>
    <w:link w:val="Style_26_ch"/>
    <w:rPr>
      <w:rFonts w:ascii="XO Thames" w:hAnsi="XO Thames"/>
      <w:b w:val="1"/>
      <w:sz w:val="28"/>
    </w:rPr>
  </w:style>
  <w:style w:styleId="Style_26_ch" w:type="character">
    <w:name w:val="Heading 21"/>
    <w:link w:val="Style_26"/>
    <w:rPr>
      <w:rFonts w:ascii="XO Thames" w:hAnsi="XO Thames"/>
      <w:b w:val="1"/>
      <w:sz w:val="28"/>
    </w:rPr>
  </w:style>
  <w:style w:styleId="Style_1" w:type="paragraph">
    <w:name w:val="Header"/>
    <w:basedOn w:val="Style_2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2_ch"/>
    <w:link w:val="Style_1"/>
  </w:style>
  <w:style w:styleId="Style_27" w:type="paragraph">
    <w:name w:val="Contents 2"/>
    <w:link w:val="Style_27_ch"/>
    <w:rPr>
      <w:rFonts w:ascii="XO Thames" w:hAnsi="XO Thames"/>
      <w:sz w:val="28"/>
    </w:rPr>
  </w:style>
  <w:style w:styleId="Style_27_ch" w:type="character">
    <w:name w:val="Contents 2"/>
    <w:link w:val="Style_27"/>
    <w:rPr>
      <w:rFonts w:ascii="XO Thames" w:hAnsi="XO Thames"/>
      <w:sz w:val="28"/>
    </w:rPr>
  </w:style>
  <w:style w:styleId="Style_28" w:type="paragraph">
    <w:name w:val="heading 5"/>
    <w:next w:val="Style_2"/>
    <w:link w:val="Style_28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8_ch" w:type="character">
    <w:name w:val="heading 5"/>
    <w:link w:val="Style_28"/>
    <w:rPr>
      <w:rFonts w:ascii="XO Thames" w:hAnsi="XO Thames"/>
      <w:b w:val="1"/>
      <w:color w:val="000000"/>
      <w:spacing w:val="0"/>
      <w:sz w:val="22"/>
    </w:rPr>
  </w:style>
  <w:style w:styleId="Style_29" w:type="paragraph">
    <w:name w:val="Символ нумерации"/>
    <w:link w:val="Style_29_ch"/>
    <w:rPr>
      <w:rFonts w:ascii="Times New Roman" w:hAnsi="Times New Roman"/>
      <w:sz w:val="28"/>
    </w:rPr>
  </w:style>
  <w:style w:styleId="Style_29_ch" w:type="character">
    <w:name w:val="Символ нумерации"/>
    <w:link w:val="Style_29"/>
    <w:rPr>
      <w:rFonts w:ascii="Times New Roman" w:hAnsi="Times New Roman"/>
      <w:sz w:val="28"/>
    </w:rPr>
  </w:style>
  <w:style w:styleId="Style_30" w:type="paragraph">
    <w:name w:val="Subtitle1"/>
    <w:link w:val="Style_30_ch"/>
    <w:rPr>
      <w:rFonts w:ascii="XO Thames" w:hAnsi="XO Thames"/>
      <w:i w:val="1"/>
      <w:sz w:val="24"/>
    </w:rPr>
  </w:style>
  <w:style w:styleId="Style_30_ch" w:type="character">
    <w:name w:val="Subtitle1"/>
    <w:link w:val="Style_30"/>
    <w:rPr>
      <w:rFonts w:ascii="XO Thames" w:hAnsi="XO Thames"/>
      <w:i w:val="1"/>
      <w:sz w:val="24"/>
    </w:rPr>
  </w:style>
  <w:style w:styleId="Style_31" w:type="paragraph">
    <w:name w:val="heading 1"/>
    <w:next w:val="Style_2"/>
    <w:link w:val="Style_31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31_ch" w:type="character">
    <w:name w:val="heading 1"/>
    <w:link w:val="Style_31"/>
    <w:rPr>
      <w:rFonts w:ascii="XO Thames" w:hAnsi="XO Thames"/>
      <w:b w:val="1"/>
      <w:color w:val="000000"/>
      <w:spacing w:val="0"/>
      <w:sz w:val="32"/>
    </w:rPr>
  </w:style>
  <w:style w:styleId="Style_32" w:type="paragraph">
    <w:name w:val="Footer"/>
    <w:basedOn w:val="Style_2"/>
    <w:link w:val="Style_32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  <w:rPr>
      <w:rFonts w:ascii="Times New Roman" w:hAnsi="Times New Roman"/>
      <w:sz w:val="28"/>
    </w:rPr>
  </w:style>
  <w:style w:styleId="Style_32_ch" w:type="character">
    <w:name w:val="Footer"/>
    <w:basedOn w:val="Style_2_ch"/>
    <w:link w:val="Style_32"/>
    <w:rPr>
      <w:rFonts w:ascii="Times New Roman" w:hAnsi="Times New Roman"/>
      <w:sz w:val="28"/>
    </w:rPr>
  </w:style>
  <w:style w:styleId="Style_33" w:type="paragraph">
    <w:name w:val="Hyperlink"/>
    <w:basedOn w:val="Style_20"/>
    <w:link w:val="Style_33_ch"/>
    <w:rPr>
      <w:color w:themeColor="hyperlink" w:val="0563C1"/>
      <w:u w:val="single"/>
    </w:rPr>
  </w:style>
  <w:style w:styleId="Style_33_ch" w:type="character">
    <w:name w:val="Hyperlink"/>
    <w:basedOn w:val="Style_20_ch"/>
    <w:link w:val="Style_33"/>
    <w:rPr>
      <w:color w:themeColor="hyperlink" w:val="0563C1"/>
      <w:u w:val="single"/>
    </w:rPr>
  </w:style>
  <w:style w:styleId="Style_34" w:type="paragraph">
    <w:name w:val="Footnote"/>
    <w:link w:val="Style_34_ch"/>
    <w:pPr>
      <w:ind w:firstLine="851" w:left="0"/>
      <w:jc w:val="both"/>
    </w:pPr>
    <w:rPr>
      <w:rFonts w:ascii="XO Thames" w:hAnsi="XO Thames"/>
      <w:sz w:val="22"/>
    </w:rPr>
  </w:style>
  <w:style w:styleId="Style_34_ch" w:type="character">
    <w:name w:val="Footnote"/>
    <w:link w:val="Style_34"/>
    <w:rPr>
      <w:rFonts w:ascii="XO Thames" w:hAnsi="XO Thames"/>
      <w:sz w:val="22"/>
    </w:rPr>
  </w:style>
  <w:style w:styleId="Style_35" w:type="paragraph">
    <w:name w:val="toc 1"/>
    <w:next w:val="Style_2"/>
    <w:link w:val="Style_35_ch"/>
    <w:uiPriority w:val="39"/>
    <w:pPr>
      <w:widowControl w:val="1"/>
      <w:spacing w:after="160" w:before="0" w:line="264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5_ch" w:type="character">
    <w:name w:val="toc 1"/>
    <w:link w:val="Style_35"/>
    <w:rPr>
      <w:rFonts w:ascii="XO Thames" w:hAnsi="XO Thames"/>
      <w:b w:val="1"/>
      <w:color w:val="000000"/>
      <w:spacing w:val="0"/>
      <w:sz w:val="28"/>
    </w:rPr>
  </w:style>
  <w:style w:styleId="Style_36" w:type="paragraph">
    <w:name w:val="Header and Footer"/>
    <w:link w:val="Style_36_ch"/>
    <w:rPr>
      <w:rFonts w:ascii="XO Thames" w:hAnsi="XO Thames"/>
      <w:sz w:val="28"/>
    </w:rPr>
  </w:style>
  <w:style w:styleId="Style_36_ch" w:type="character">
    <w:name w:val="Header and Footer"/>
    <w:link w:val="Style_36"/>
    <w:rPr>
      <w:rFonts w:ascii="XO Thames" w:hAnsi="XO Thames"/>
      <w:sz w:val="28"/>
    </w:rPr>
  </w:style>
  <w:style w:styleId="Style_37" w:type="paragraph">
    <w:name w:val="Contents 3"/>
    <w:link w:val="Style_37_ch"/>
    <w:rPr>
      <w:rFonts w:ascii="XO Thames" w:hAnsi="XO Thames"/>
      <w:sz w:val="28"/>
    </w:rPr>
  </w:style>
  <w:style w:styleId="Style_37_ch" w:type="character">
    <w:name w:val="Contents 3"/>
    <w:link w:val="Style_37"/>
    <w:rPr>
      <w:rFonts w:ascii="XO Thames" w:hAnsi="XO Thames"/>
      <w:sz w:val="28"/>
    </w:rPr>
  </w:style>
  <w:style w:styleId="Style_38" w:type="paragraph">
    <w:name w:val="Contents 4"/>
    <w:link w:val="Style_38_ch"/>
    <w:rPr>
      <w:rFonts w:ascii="XO Thames" w:hAnsi="XO Thames"/>
      <w:sz w:val="28"/>
    </w:rPr>
  </w:style>
  <w:style w:styleId="Style_38_ch" w:type="character">
    <w:name w:val="Contents 4"/>
    <w:link w:val="Style_38"/>
    <w:rPr>
      <w:rFonts w:ascii="XO Thames" w:hAnsi="XO Thames"/>
      <w:sz w:val="28"/>
    </w:rPr>
  </w:style>
  <w:style w:styleId="Style_39" w:type="paragraph">
    <w:name w:val="Title1"/>
    <w:link w:val="Style_39_ch"/>
    <w:rPr>
      <w:rFonts w:ascii="XO Thames" w:hAnsi="XO Thames"/>
      <w:b w:val="1"/>
      <w:caps w:val="1"/>
      <w:sz w:val="40"/>
    </w:rPr>
  </w:style>
  <w:style w:styleId="Style_39_ch" w:type="character">
    <w:name w:val="Title1"/>
    <w:link w:val="Style_39"/>
    <w:rPr>
      <w:rFonts w:ascii="XO Thames" w:hAnsi="XO Thames"/>
      <w:b w:val="1"/>
      <w:caps w:val="1"/>
      <w:sz w:val="40"/>
    </w:rPr>
  </w:style>
  <w:style w:styleId="Style_40" w:type="paragraph">
    <w:name w:val="Содержимое врезки"/>
    <w:basedOn w:val="Style_2"/>
    <w:link w:val="Style_40_ch"/>
  </w:style>
  <w:style w:styleId="Style_40_ch" w:type="character">
    <w:name w:val="Содержимое врезки"/>
    <w:basedOn w:val="Style_2_ch"/>
    <w:link w:val="Style_40"/>
  </w:style>
  <w:style w:styleId="Style_41" w:type="paragraph">
    <w:name w:val="toc 9"/>
    <w:next w:val="Style_2"/>
    <w:link w:val="Style_41_ch"/>
    <w:uiPriority w:val="39"/>
    <w:pPr>
      <w:widowControl w:val="1"/>
      <w:spacing w:after="160" w:before="0" w:line="264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41_ch" w:type="character">
    <w:name w:val="toc 9"/>
    <w:link w:val="Style_41"/>
    <w:rPr>
      <w:rFonts w:ascii="XO Thames" w:hAnsi="XO Thames"/>
      <w:color w:val="000000"/>
      <w:spacing w:val="0"/>
      <w:sz w:val="28"/>
    </w:rPr>
  </w:style>
  <w:style w:styleId="Style_42" w:type="paragraph">
    <w:name w:val="Contents 6"/>
    <w:link w:val="Style_42_ch"/>
    <w:rPr>
      <w:rFonts w:ascii="XO Thames" w:hAnsi="XO Thames"/>
      <w:sz w:val="28"/>
    </w:rPr>
  </w:style>
  <w:style w:styleId="Style_42_ch" w:type="character">
    <w:name w:val="Contents 6"/>
    <w:link w:val="Style_42"/>
    <w:rPr>
      <w:rFonts w:ascii="XO Thames" w:hAnsi="XO Thames"/>
      <w:sz w:val="28"/>
    </w:rPr>
  </w:style>
  <w:style w:styleId="Style_43" w:type="paragraph">
    <w:name w:val="Contents 8"/>
    <w:link w:val="Style_43_ch"/>
    <w:rPr>
      <w:rFonts w:ascii="XO Thames" w:hAnsi="XO Thames"/>
      <w:sz w:val="28"/>
    </w:rPr>
  </w:style>
  <w:style w:styleId="Style_43_ch" w:type="character">
    <w:name w:val="Contents 8"/>
    <w:link w:val="Style_43"/>
    <w:rPr>
      <w:rFonts w:ascii="XO Thames" w:hAnsi="XO Thames"/>
      <w:sz w:val="28"/>
    </w:rPr>
  </w:style>
  <w:style w:styleId="Style_44" w:type="paragraph">
    <w:name w:val="toc 8"/>
    <w:next w:val="Style_2"/>
    <w:link w:val="Style_44_ch"/>
    <w:uiPriority w:val="39"/>
    <w:pPr>
      <w:widowControl w:val="1"/>
      <w:spacing w:after="160" w:before="0" w:line="264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44_ch" w:type="character">
    <w:name w:val="toc 8"/>
    <w:link w:val="Style_44"/>
    <w:rPr>
      <w:rFonts w:ascii="XO Thames" w:hAnsi="XO Thames"/>
      <w:color w:val="000000"/>
      <w:spacing w:val="0"/>
      <w:sz w:val="28"/>
    </w:rPr>
  </w:style>
  <w:style w:styleId="Style_45" w:type="paragraph">
    <w:name w:val="Footer1"/>
    <w:link w:val="Style_45_ch"/>
    <w:rPr>
      <w:rFonts w:ascii="Times New Roman" w:hAnsi="Times New Roman"/>
      <w:sz w:val="28"/>
    </w:rPr>
  </w:style>
  <w:style w:styleId="Style_45_ch" w:type="character">
    <w:name w:val="Footer1"/>
    <w:link w:val="Style_45"/>
    <w:rPr>
      <w:rFonts w:ascii="Times New Roman" w:hAnsi="Times New Roman"/>
      <w:sz w:val="28"/>
    </w:rPr>
  </w:style>
  <w:style w:styleId="Style_20" w:type="paragraph">
    <w:name w:val="Default Paragraph Font1"/>
    <w:link w:val="Style_20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0_ch" w:type="character">
    <w:name w:val="Default Paragraph Font1"/>
    <w:link w:val="Style_20"/>
    <w:rPr>
      <w:rFonts w:asciiTheme="minorAscii" w:hAnsiTheme="minorHAnsi"/>
      <w:color w:val="000000"/>
      <w:spacing w:val="0"/>
      <w:sz w:val="22"/>
    </w:rPr>
  </w:style>
  <w:style w:styleId="Style_46" w:type="paragraph">
    <w:name w:val="Заголовок"/>
    <w:basedOn w:val="Style_2"/>
    <w:next w:val="Style_11"/>
    <w:link w:val="Style_46_ch"/>
    <w:pPr>
      <w:keepNext w:val="1"/>
      <w:spacing w:after="120" w:before="240"/>
      <w:ind/>
    </w:pPr>
    <w:rPr>
      <w:rFonts w:ascii="Open Sans" w:hAnsi="Open Sans"/>
      <w:sz w:val="28"/>
    </w:rPr>
  </w:style>
  <w:style w:styleId="Style_46_ch" w:type="character">
    <w:name w:val="Заголовок"/>
    <w:basedOn w:val="Style_2_ch"/>
    <w:link w:val="Style_46"/>
    <w:rPr>
      <w:rFonts w:ascii="Open Sans" w:hAnsi="Open Sans"/>
      <w:sz w:val="28"/>
    </w:rPr>
  </w:style>
  <w:style w:styleId="Style_47" w:type="paragraph">
    <w:name w:val="Heading 11"/>
    <w:link w:val="Style_47_ch"/>
    <w:rPr>
      <w:rFonts w:ascii="XO Thames" w:hAnsi="XO Thames"/>
      <w:b w:val="1"/>
      <w:sz w:val="32"/>
    </w:rPr>
  </w:style>
  <w:style w:styleId="Style_47_ch" w:type="character">
    <w:name w:val="Heading 11"/>
    <w:link w:val="Style_47"/>
    <w:rPr>
      <w:rFonts w:ascii="XO Thames" w:hAnsi="XO Thames"/>
      <w:b w:val="1"/>
      <w:sz w:val="32"/>
    </w:rPr>
  </w:style>
  <w:style w:styleId="Style_48" w:type="paragraph">
    <w:name w:val="Колонтитул"/>
    <w:link w:val="Style_48_ch"/>
    <w:pPr>
      <w:widowControl w:val="1"/>
      <w:spacing w:after="16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48_ch" w:type="character">
    <w:name w:val="Колонтитул"/>
    <w:link w:val="Style_48"/>
    <w:rPr>
      <w:rFonts w:ascii="XO Thames" w:hAnsi="XO Thames"/>
      <w:color w:val="000000"/>
      <w:spacing w:val="0"/>
      <w:sz w:val="28"/>
    </w:rPr>
  </w:style>
  <w:style w:styleId="Style_49" w:type="paragraph">
    <w:name w:val="Contents 7"/>
    <w:link w:val="Style_49_ch"/>
    <w:rPr>
      <w:rFonts w:ascii="XO Thames" w:hAnsi="XO Thames"/>
      <w:sz w:val="28"/>
    </w:rPr>
  </w:style>
  <w:style w:styleId="Style_49_ch" w:type="character">
    <w:name w:val="Contents 7"/>
    <w:link w:val="Style_49"/>
    <w:rPr>
      <w:rFonts w:ascii="XO Thames" w:hAnsi="XO Thames"/>
      <w:sz w:val="28"/>
    </w:rPr>
  </w:style>
  <w:style w:styleId="Style_50" w:type="paragraph">
    <w:name w:val="toc 5"/>
    <w:next w:val="Style_2"/>
    <w:link w:val="Style_50_ch"/>
    <w:uiPriority w:val="39"/>
    <w:pPr>
      <w:widowControl w:val="1"/>
      <w:spacing w:after="160" w:before="0" w:line="264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50_ch" w:type="character">
    <w:name w:val="toc 5"/>
    <w:link w:val="Style_50"/>
    <w:rPr>
      <w:rFonts w:ascii="XO Thames" w:hAnsi="XO Thames"/>
      <w:color w:val="000000"/>
      <w:spacing w:val="0"/>
      <w:sz w:val="28"/>
    </w:rPr>
  </w:style>
  <w:style w:styleId="Style_51" w:type="paragraph">
    <w:name w:val="Subtitle"/>
    <w:next w:val="Style_2"/>
    <w:link w:val="Style_51_ch"/>
    <w:uiPriority w:val="11"/>
    <w:qFormat/>
    <w:pPr>
      <w:widowControl w:val="1"/>
      <w:spacing w:after="160" w:before="0" w:line="264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51_ch" w:type="character">
    <w:name w:val="Subtitle"/>
    <w:link w:val="Style_51"/>
    <w:rPr>
      <w:rFonts w:ascii="XO Thames" w:hAnsi="XO Thames"/>
      <w:i w:val="1"/>
      <w:color w:val="000000"/>
      <w:spacing w:val="0"/>
      <w:sz w:val="24"/>
    </w:rPr>
  </w:style>
  <w:style w:styleId="Style_52" w:type="paragraph">
    <w:name w:val="Endnote1"/>
    <w:link w:val="Style_52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52_ch" w:type="character">
    <w:name w:val="Endnote1"/>
    <w:link w:val="Style_52"/>
    <w:rPr>
      <w:rFonts w:ascii="XO Thames" w:hAnsi="XO Thames"/>
      <w:color w:val="000000"/>
      <w:spacing w:val="0"/>
      <w:sz w:val="22"/>
    </w:rPr>
  </w:style>
  <w:style w:styleId="Style_53" w:type="paragraph">
    <w:name w:val="Title"/>
    <w:next w:val="Style_2"/>
    <w:link w:val="Style_53_ch"/>
    <w:uiPriority w:val="10"/>
    <w:qFormat/>
    <w:pPr>
      <w:widowControl w:val="1"/>
      <w:spacing w:after="567" w:before="567" w:line="264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53_ch" w:type="character">
    <w:name w:val="Title"/>
    <w:link w:val="Style_53"/>
    <w:rPr>
      <w:rFonts w:ascii="XO Thames" w:hAnsi="XO Thames"/>
      <w:b w:val="1"/>
      <w:caps w:val="1"/>
      <w:color w:val="000000"/>
      <w:spacing w:val="0"/>
      <w:sz w:val="40"/>
    </w:rPr>
  </w:style>
  <w:style w:styleId="Style_54" w:type="paragraph">
    <w:name w:val="heading 4"/>
    <w:next w:val="Style_2"/>
    <w:link w:val="Style_54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54_ch" w:type="character">
    <w:name w:val="heading 4"/>
    <w:link w:val="Style_54"/>
    <w:rPr>
      <w:rFonts w:ascii="XO Thames" w:hAnsi="XO Thames"/>
      <w:b w:val="1"/>
      <w:color w:val="000000"/>
      <w:spacing w:val="0"/>
      <w:sz w:val="24"/>
    </w:rPr>
  </w:style>
  <w:style w:styleId="Style_55" w:type="paragraph">
    <w:name w:val="Plain Text1"/>
    <w:basedOn w:val="Style_2"/>
    <w:link w:val="Style_55_ch"/>
    <w:pPr>
      <w:spacing w:after="0" w:before="0" w:line="240" w:lineRule="auto"/>
      <w:ind/>
    </w:pPr>
    <w:rPr>
      <w:rFonts w:ascii="Calibri" w:hAnsi="Calibri"/>
    </w:rPr>
  </w:style>
  <w:style w:styleId="Style_55_ch" w:type="character">
    <w:name w:val="Plain Text1"/>
    <w:basedOn w:val="Style_2_ch"/>
    <w:link w:val="Style_55"/>
    <w:rPr>
      <w:rFonts w:ascii="Calibri" w:hAnsi="Calibri"/>
    </w:rPr>
  </w:style>
  <w:style w:styleId="Style_56" w:type="paragraph">
    <w:name w:val="heading 2"/>
    <w:next w:val="Style_2"/>
    <w:link w:val="Style_56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56_ch" w:type="character">
    <w:name w:val="heading 2"/>
    <w:link w:val="Style_56"/>
    <w:rPr>
      <w:rFonts w:ascii="XO Thames" w:hAnsi="XO Thames"/>
      <w:b w:val="1"/>
      <w:color w:val="000000"/>
      <w:spacing w:val="0"/>
      <w:sz w:val="28"/>
    </w:rPr>
  </w:style>
  <w:style w:styleId="Style_57" w:type="paragraph">
    <w:name w:val="Heading 41"/>
    <w:link w:val="Style_57_ch"/>
    <w:rPr>
      <w:rFonts w:ascii="XO Thames" w:hAnsi="XO Thames"/>
      <w:b w:val="1"/>
      <w:sz w:val="24"/>
    </w:rPr>
  </w:style>
  <w:style w:styleId="Style_57_ch" w:type="character">
    <w:name w:val="Heading 41"/>
    <w:link w:val="Style_57"/>
    <w:rPr>
      <w:rFonts w:ascii="XO Thames" w:hAnsi="XO Thames"/>
      <w:b w:val="1"/>
      <w:sz w:val="24"/>
    </w:rPr>
  </w:style>
  <w:style w:styleId="Style_4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8" w:type="table">
    <w:name w:val="Сетка таблицы2"/>
    <w:basedOn w:val="Style_3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9" w:type="table">
    <w:name w:val="Сетка таблицы1"/>
    <w:basedOn w:val="Style_3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2025-12-19T03:45:16Z</dcterms:modified>
</cp:coreProperties>
</file>