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нормативах финансового обеспечения государственных гарантий реализации прав на получение общедоступного и </w:t>
      </w:r>
      <w:r>
        <w:rPr>
          <w:rFonts w:ascii="Times New Roman" w:hAnsi="Times New Roman"/>
          <w:b w:val="1"/>
          <w:sz w:val="28"/>
        </w:rPr>
        <w:t>бесплатного начального общего, основного общего, среднего общего образования, финансового обеспечения дополнительного образования детей в муниципальных общеобразовательных организациях в Камчатском крае на 2026 год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3 части 1 стат</w:t>
      </w:r>
      <w:r>
        <w:rPr>
          <w:rFonts w:ascii="Times New Roman" w:hAnsi="Times New Roman"/>
          <w:sz w:val="28"/>
        </w:rPr>
        <w:t xml:space="preserve">ьи 8 Федерального закона </w:t>
      </w:r>
      <w:r>
        <w:br/>
      </w:r>
      <w:r>
        <w:rPr>
          <w:rFonts w:ascii="Times New Roman" w:hAnsi="Times New Roman"/>
          <w:sz w:val="28"/>
        </w:rPr>
        <w:t>от 29.12.2012 № 273-ФЗ «Об образовании в Российской Федерации»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</w:t>
      </w:r>
      <w:r>
        <w:rPr>
          <w:rFonts w:ascii="Times New Roman" w:hAnsi="Times New Roman"/>
          <w:sz w:val="28"/>
        </w:rPr>
        <w:t xml:space="preserve"> нормативы </w:t>
      </w:r>
      <w:r>
        <w:rPr>
          <w:rFonts w:ascii="Times New Roman" w:hAnsi="Times New Roman"/>
          <w:sz w:val="28"/>
        </w:rPr>
        <w:t>финансового обеспечения государственных гарантий реализации прав на получение общедоступного и бесплатного начальн</w:t>
      </w:r>
      <w:r>
        <w:rPr>
          <w:rFonts w:ascii="Times New Roman" w:hAnsi="Times New Roman"/>
          <w:sz w:val="28"/>
        </w:rPr>
        <w:t xml:space="preserve">ого общего, основного общего, среднего общего образования, финансового обеспечения дополнительного образования детей в муниципальных общеобразовательных организациях в Камчатском крае на 2026 год </w:t>
      </w:r>
      <w:r>
        <w:rPr>
          <w:rFonts w:ascii="Times New Roman" w:hAnsi="Times New Roman"/>
          <w:sz w:val="28"/>
        </w:rPr>
        <w:t>согласно приложению к настоящему постановлению.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</w:t>
      </w:r>
      <w:r>
        <w:rPr>
          <w:rFonts w:ascii="Times New Roman" w:hAnsi="Times New Roman"/>
          <w:sz w:val="28"/>
        </w:rPr>
        <w:t xml:space="preserve"> постановление вступает в силу с 1 января 2026 года..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32"/>
      </w:tblGrid>
      <w:tr>
        <w:trPr>
          <w:trHeight w:hRule="atLeast" w:val="1827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</w:t>
            </w:r>
          </w:p>
          <w:p w14:paraId="1E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  <w:p w14:paraId="1F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21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32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23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5000000">
      <w: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9000000">
      <w:pPr>
        <w:pStyle w:val="Style_4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Нормативы</w:t>
      </w:r>
    </w:p>
    <w:p w14:paraId="3A000000">
      <w:pPr>
        <w:pStyle w:val="Style_4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финансового обеспечения дополнительного образования детей в</w:t>
      </w:r>
      <w:r>
        <w:rPr>
          <w:rFonts w:ascii="Times New Roman" w:hAnsi="Times New Roman"/>
          <w:b w:val="0"/>
          <w:sz w:val="28"/>
        </w:rPr>
        <w:t xml:space="preserve"> муниципальных общеобразовательных организациях в Камчатском крае </w:t>
      </w:r>
      <w:r>
        <w:rPr>
          <w:rFonts w:asciiTheme="minorAscii" w:hAnsiTheme="minorHAnsi"/>
          <w:b w:val="0"/>
        </w:rPr>
        <w:br/>
      </w:r>
      <w:r>
        <w:rPr>
          <w:rFonts w:ascii="Times New Roman" w:hAnsi="Times New Roman"/>
          <w:b w:val="0"/>
          <w:sz w:val="28"/>
        </w:rPr>
        <w:t>на 2026 год</w:t>
      </w:r>
    </w:p>
    <w:p w14:paraId="3B000000">
      <w:pPr>
        <w:pStyle w:val="Style_4"/>
        <w:ind/>
        <w:jc w:val="center"/>
        <w:rPr>
          <w:rFonts w:ascii="Times New Roman" w:hAnsi="Times New Roman"/>
          <w:b w:val="0"/>
          <w:sz w:val="28"/>
        </w:rPr>
      </w:pPr>
    </w:p>
    <w:p w14:paraId="3C000000">
      <w:pPr>
        <w:pStyle w:val="Style_4"/>
        <w:numPr>
          <w:ilvl w:val="0"/>
          <w:numId w:val="1"/>
        </w:numPr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Нормативы </w:t>
      </w:r>
      <w:r>
        <w:rPr>
          <w:rFonts w:ascii="Times New Roman" w:hAnsi="Times New Roman"/>
          <w:b w:val="0"/>
          <w:sz w:val="28"/>
        </w:rPr>
        <w:t>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</w:t>
      </w:r>
      <w:r>
        <w:rPr>
          <w:rFonts w:ascii="Times New Roman" w:hAnsi="Times New Roman"/>
          <w:b w:val="0"/>
          <w:sz w:val="28"/>
        </w:rPr>
        <w:t>вания, финансового обеспечения дополнительного образования детей в муниципальных общеобразовательных организациях в Камчатском крае (за исключением муниципальных малокомплектных образовательных организаций и муниципальных образовательных организаций, распо</w:t>
      </w:r>
      <w:r>
        <w:rPr>
          <w:rFonts w:ascii="Times New Roman" w:hAnsi="Times New Roman"/>
          <w:b w:val="0"/>
          <w:sz w:val="28"/>
        </w:rPr>
        <w:t>ложенных в сельских населенных пунктах и реализующих основные общеобразовательные программы) на 2026 год:</w:t>
      </w: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57"/>
        <w:gridCol w:w="4640"/>
        <w:gridCol w:w="1417"/>
        <w:gridCol w:w="1418"/>
        <w:gridCol w:w="1457"/>
      </w:tblGrid>
      <w:tr>
        <w:tc>
          <w:tcPr>
            <w:tcW w:type="dxa" w:w="7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6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общеобразовательных организаций / наименование муниципального образования в Камчатском крае</w:t>
            </w:r>
          </w:p>
        </w:tc>
        <w:tc>
          <w:tcPr>
            <w:tcW w:type="dxa" w:w="429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Нормативы в расчете на одного</w:t>
            </w:r>
          </w:p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учащегося (рублей в год)</w:t>
            </w:r>
          </w:p>
        </w:tc>
      </w:tr>
      <w:tr>
        <w:tc>
          <w:tcPr>
            <w:tcW w:type="dxa" w:w="7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46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1000000">
            <w:pPr>
              <w:widowControl w:val="0"/>
              <w:spacing w:after="0" w:line="240" w:lineRule="auto"/>
              <w:ind w:firstLine="283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5–9           классы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10–11 (12) классы</w:t>
            </w:r>
          </w:p>
        </w:tc>
      </w:tr>
    </w:tbl>
    <w:p w14:paraId="44000000">
      <w:pPr>
        <w:spacing w:after="0"/>
        <w:ind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58"/>
        <w:gridCol w:w="4634"/>
        <w:gridCol w:w="1416"/>
        <w:gridCol w:w="9"/>
        <w:gridCol w:w="1410"/>
        <w:gridCol w:w="139"/>
        <w:gridCol w:w="1315"/>
      </w:tblGrid>
      <w:tr>
        <w:trPr>
          <w:tblHeader/>
        </w:trP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892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оплату труда работников общеобразовательных организаций (в том числе на осуществление деятельности по дополнительному образованию детей)</w:t>
            </w:r>
          </w:p>
        </w:tc>
      </w:tr>
      <w:tr>
        <w:trPr>
          <w:trHeight w:hRule="atLeast" w:val="1121"/>
        </w:trP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общеобразовательных организациях, расположенных в городских поселениях, городских округах, за исключением городского округа «поселок Палана»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110 250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150 773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182 067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на осуществление деятельности по дополнительному образованию детей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3 308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4 523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5 462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общеобразовательных организациях, расположенных в городском округе «поселок Палана»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118 730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163 422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196 072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на осуществление деятельности по дополнительному образованию детей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3 562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4 903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5 882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общеобразовательных школах-интернатах, расположенных в городских поселениях, городских округах, за исключением городского округа «поселок Палана»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208 760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общеобразовательных школах-интернатах, расположенных в городском </w:t>
            </w:r>
            <w:r>
              <w:rPr>
                <w:rFonts w:ascii="Times New Roman" w:hAnsi="Times New Roman"/>
                <w:sz w:val="24"/>
              </w:rPr>
              <w:t>округе «поселок Палана»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217 223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группах для учащихся, проживающих при общеобразовательных школах, расположенных в городских поселениях, городских округах, за исключением городского округа «поселок Палана»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360 373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360 373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360 373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группах для учащихся, проживающих при общеобразовательных школах, расположенных в городском округе «поселок Палана»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388 098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388 098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388 098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92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обеспечение образовательного процесса в общеобразовательных организациях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общеобразовательных организациях, расположенных в городских поселениях, городских округах, за исключением городского округа «поселок Палана»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4 246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5 902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6 264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общеобразовательных организациях, расположенных в городском округе «поселок Палана»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  <w:r>
              <w:rPr>
                <w:rFonts w:ascii="Times New Roman" w:hAnsi="Times New Roman"/>
                <w:sz w:val="24"/>
              </w:rPr>
              <w:t>671</w:t>
            </w:r>
          </w:p>
        </w:tc>
        <w:tc>
          <w:tcPr>
            <w:tcW w:type="dxa" w:w="155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6 491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6 889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92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норматив финансового обеспечения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Петропавловск-Камчатский городской округ</w:t>
            </w:r>
          </w:p>
        </w:tc>
        <w:tc>
          <w:tcPr>
            <w:tcW w:type="dxa" w:w="428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166 281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Елизовский муниципальный округ Камчатского края (для организаций, расположенных в городской местности)</w:t>
            </w:r>
          </w:p>
        </w:tc>
        <w:tc>
          <w:tcPr>
            <w:tcW w:type="dxa" w:w="428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177 159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Вилючинский </w:t>
            </w:r>
            <w:r>
              <w:rPr>
                <w:rFonts w:ascii="Times New Roman" w:hAnsi="Times New Roman"/>
                <w:sz w:val="24"/>
              </w:rPr>
              <w:t>городской округ</w:t>
            </w:r>
          </w:p>
        </w:tc>
        <w:tc>
          <w:tcPr>
            <w:tcW w:type="dxa" w:w="428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177 367</w:t>
            </w:r>
          </w:p>
        </w:tc>
      </w:tr>
      <w:tr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Городской округ «поселок Палана»</w:t>
            </w:r>
          </w:p>
        </w:tc>
        <w:tc>
          <w:tcPr>
            <w:tcW w:type="dxa" w:w="428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376 521</w:t>
            </w:r>
          </w:p>
        </w:tc>
      </w:tr>
    </w:tbl>
    <w:p w14:paraId="8E000000">
      <w:pPr>
        <w:widowControl w:val="0"/>
        <w:spacing w:after="0" w:line="240" w:lineRule="auto"/>
        <w:ind w:firstLine="720" w:left="0"/>
        <w:contextualSpacing w:val="1"/>
        <w:jc w:val="right"/>
        <w:rPr>
          <w:rFonts w:ascii="Times New Roman" w:hAnsi="Times New Roman"/>
          <w:sz w:val="28"/>
        </w:rPr>
      </w:pPr>
    </w:p>
    <w:p w14:paraId="8F000000">
      <w:pPr>
        <w:pStyle w:val="Style_4"/>
        <w:numPr>
          <w:ilvl w:val="0"/>
          <w:numId w:val="1"/>
        </w:numPr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</w:t>
      </w:r>
      <w:r>
        <w:rPr>
          <w:rFonts w:ascii="Times New Roman" w:hAnsi="Times New Roman"/>
          <w:b w:val="0"/>
          <w:sz w:val="28"/>
        </w:rPr>
        <w:t>финансового обеспечения дополнительного образования детей в муниципальных малокомплектных образовательных организациях в Камчатском крае на 2026 год:</w:t>
      </w: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9"/>
        <w:gridCol w:w="5245"/>
        <w:gridCol w:w="1701"/>
        <w:gridCol w:w="2002"/>
      </w:tblGrid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общеобразовательной организации</w:t>
            </w:r>
          </w:p>
        </w:tc>
        <w:tc>
          <w:tcPr>
            <w:tcW w:type="dxa" w:w="3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(тыс. рублей в год)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том числе </w:t>
            </w:r>
            <w:r>
              <w:rPr>
                <w:rFonts w:ascii="Times New Roman" w:hAnsi="Times New Roman"/>
                <w:sz w:val="24"/>
              </w:rPr>
              <w:t>финансового обеспечения дополнительного образования детей</w:t>
            </w:r>
          </w:p>
        </w:tc>
      </w:tr>
    </w:tbl>
    <w:p w14:paraId="95000000">
      <w:pPr>
        <w:spacing w:after="0" w:line="240" w:lineRule="auto"/>
        <w:ind/>
        <w:rPr>
          <w:sz w:val="2"/>
        </w:rPr>
      </w:pP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9"/>
        <w:gridCol w:w="5245"/>
        <w:gridCol w:w="1701"/>
        <w:gridCol w:w="2002"/>
      </w:tblGrid>
      <w:tr>
        <w:trPr>
          <w:trHeight w:hRule="atLeast" w:val="57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Усть-Большерецкий муниципальный округ 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образовательное учреждение «Большерецкая средняя общеобразовательная школа № 5»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64 385,00000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541,00000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образовательное учреждение «Запорожская начальная </w:t>
            </w:r>
            <w:r>
              <w:rPr>
                <w:rFonts w:ascii="Times New Roman" w:hAnsi="Times New Roman"/>
                <w:sz w:val="24"/>
              </w:rPr>
              <w:t>общеобразовательная школа-детский сад № 9»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12 801,00000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образовательное учреждение «Апачинская средняя общеобразовательная </w:t>
            </w:r>
            <w:r>
              <w:rPr>
                <w:rFonts w:ascii="Times New Roman" w:hAnsi="Times New Roman"/>
                <w:sz w:val="24"/>
              </w:rPr>
              <w:t>школа № 7»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56 982,00000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834,00000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Соболевский муниципальный округ 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общеобразовательное казенное учреждение «Устьевая школа основного общего образования»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35 522,00000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D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общеобразовательное </w:t>
            </w:r>
            <w:r>
              <w:rPr>
                <w:rFonts w:ascii="Times New Roman" w:hAnsi="Times New Roman"/>
                <w:sz w:val="24"/>
              </w:rPr>
              <w:t>казенное учреждение «Крутогоровская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35 495,00000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Мильковский муниципальный округ 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«Долиновская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50 811,00000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«Шаромская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61 102,00000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416,00000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B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«Лазовская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51 909,00000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</w:rPr>
              <w:t>общеобразовательное учреждение «Атласовская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52 951,0000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Быстринский муниципальный округ 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«Анавгайская средняя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63 355,00000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738,00000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Алеутский муниципальный округ в Камчатском крае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C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«Никольская средняя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64 937,00000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826,00000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Олюторский муниципальный район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</w:t>
            </w:r>
            <w:r>
              <w:rPr>
                <w:rFonts w:ascii="Times New Roman" w:hAnsi="Times New Roman"/>
                <w:sz w:val="24"/>
              </w:rPr>
              <w:t xml:space="preserve"> общеобразовательное учреждение «Пахачинская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59 703,00000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498,00000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общеобразовательное учреждение «Среднепахачинская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60 227,00000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442,00000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казенное общеобразовательное </w:t>
            </w:r>
            <w:r>
              <w:rPr>
                <w:rFonts w:ascii="Times New Roman" w:hAnsi="Times New Roman"/>
                <w:sz w:val="24"/>
              </w:rPr>
              <w:t>учреждение «Апукская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42 472,00000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D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196,00000</w:t>
            </w:r>
          </w:p>
        </w:tc>
      </w:tr>
      <w:tr>
        <w:trPr>
          <w:trHeight w:hRule="atLeast" w:val="58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D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общеобразовательное учреждение «Вывенкская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62 952,00000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казенное общеобразовательное учреждение «Ачайваямская средняя </w:t>
            </w:r>
            <w:r>
              <w:rPr>
                <w:rFonts w:ascii="Times New Roman" w:hAnsi="Times New Roman"/>
                <w:sz w:val="24"/>
              </w:rPr>
              <w:t>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60 193,00000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342,00000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7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Карагинский муниципальный район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«Ильпырская основная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40 651,00000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E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«Ивашкинская </w:t>
            </w:r>
            <w:r>
              <w:rPr>
                <w:rFonts w:ascii="Times New Roman" w:hAnsi="Times New Roman"/>
                <w:sz w:val="24"/>
              </w:rPr>
              <w:t>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60 167,00000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E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«Карагинская основная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51 617,00000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«Тымлатская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65 310,00000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101,00000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900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Тигильский муниципальный округ 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«Хайрюзовская начальная школа-детский сад»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12 499,00000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F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</w:rPr>
              <w:t>«Ковранская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56 443,00000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1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3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«Воямпольская средняя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29 018,00000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«Лесновская </w:t>
            </w:r>
            <w:r>
              <w:rPr>
                <w:rFonts w:ascii="Times New Roman" w:hAnsi="Times New Roman"/>
                <w:sz w:val="24"/>
              </w:rPr>
              <w:t>основная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40 764,00000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«Седанкинская средняя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62 528,00000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D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89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Пенжинский муниципальный район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казенное </w:t>
            </w:r>
            <w:r>
              <w:rPr>
                <w:rFonts w:ascii="Times New Roman" w:hAnsi="Times New Roman"/>
                <w:sz w:val="24"/>
              </w:rPr>
              <w:t>общеобразовательное учреждение «Таловская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48 986,00000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3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269,00000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общеобразовательное учреждение «Слаутнинская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47 990,00000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/>
                <w:sz w:val="24"/>
              </w:rPr>
              <w:t>«Аянкинская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A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61 955,00000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B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534,00000</w:t>
            </w:r>
          </w:p>
        </w:tc>
      </w:tr>
    </w:tbl>
    <w:p w14:paraId="1C010000">
      <w:pPr>
        <w:spacing w:after="0" w:line="240" w:lineRule="auto"/>
        <w:ind/>
        <w:contextualSpacing w:val="1"/>
        <w:jc w:val="right"/>
        <w:rPr>
          <w:rFonts w:ascii="Times New Roman" w:hAnsi="Times New Roman"/>
          <w:sz w:val="28"/>
        </w:rPr>
      </w:pPr>
    </w:p>
    <w:p w14:paraId="1D010000">
      <w:pPr>
        <w:pStyle w:val="Style_4"/>
        <w:numPr>
          <w:ilvl w:val="0"/>
          <w:numId w:val="1"/>
        </w:numPr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финансового обеспечен</w:t>
      </w:r>
      <w:r>
        <w:rPr>
          <w:rFonts w:ascii="Times New Roman" w:hAnsi="Times New Roman"/>
          <w:b w:val="0"/>
          <w:sz w:val="28"/>
        </w:rPr>
        <w:t>ия дополнительного образования детей в муниципальных образовательных организациях, расположенных в сельских населенных пунктах и реализующих основные общеобразовательные программы, в Камчатском крае на 2026 год:</w:t>
      </w: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9"/>
        <w:gridCol w:w="5245"/>
        <w:gridCol w:w="1701"/>
        <w:gridCol w:w="1984"/>
      </w:tblGrid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(тыс. рублей в год)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том числе           финансового обеспечения дополнительного образования детей                       </w:t>
            </w:r>
          </w:p>
        </w:tc>
      </w:tr>
    </w:tbl>
    <w:p w14:paraId="24010000">
      <w:pPr>
        <w:spacing w:after="0" w:line="240" w:lineRule="auto"/>
        <w:ind/>
        <w:rPr>
          <w:sz w:val="2"/>
        </w:rPr>
      </w:pP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709"/>
        <w:gridCol w:w="5245"/>
        <w:gridCol w:w="1701"/>
        <w:gridCol w:w="1984"/>
      </w:tblGrid>
      <w:tr>
        <w:trPr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9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Елизовский муниципальный округ Камчатского края</w:t>
            </w:r>
          </w:p>
        </w:tc>
      </w:tr>
      <w:tr>
        <w:trPr>
          <w:trHeight w:hRule="atLeast" w:val="61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«Корякская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121 433,00000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4 211,00000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«Лесновская основная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42 210,00000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808,00000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/>
                <w:sz w:val="24"/>
              </w:rPr>
              <w:t>учреждение «Нагорненская средняя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 </w:t>
            </w:r>
            <w:r>
              <w:rPr>
                <w:rFonts w:ascii="Times New Roman" w:hAnsi="Times New Roman"/>
                <w:sz w:val="24"/>
              </w:rPr>
              <w:t>742,00000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2 133,00000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общеобразовательная образовательное учреждение «Начикинская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70 489,00000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1 082,00000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«Николаевская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160 694,00000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2 839,00000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«Паратунская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79 831,00000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1 985,00000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«Пионерская средняя школа имени М.А. Евсюковой»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195 805,00000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>647,00000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«Раздольненская средняя школа имени В.Н. Ролдугина»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113 311,00000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2 429,00000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«Сосновская начальная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16 673,00000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«Термальненская средняя школа» имени Героя Российской Федерации Александра Николаевича Попова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72 742,00000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1 151,00000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</w:rPr>
              <w:t>«Средняя школа Вулканного городского поселения»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79 764,00000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1 872,00000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округ 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«Средняя школа № 2 п. Усть-Камчатск»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171 894,00000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3 614,00000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«Средняя школа № 4 п. Ключи»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152 856,00000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2 571,00000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«Средняя школа № 5 п. Ключи-1»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105 819,00000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2 466,00000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</w:t>
            </w:r>
            <w:r>
              <w:rPr>
                <w:rFonts w:ascii="Times New Roman" w:hAnsi="Times New Roman"/>
                <w:sz w:val="24"/>
              </w:rPr>
              <w:t>е общеобразовательное учреждение «Средняя школа № 6 п. Козыревск»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78 079,00000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1 055,00000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«Вечерняя школа № 2 п. Усть-Камчатск»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14 965,00000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район </w:t>
            </w:r>
            <w:r>
              <w:rPr>
                <w:rFonts w:ascii="Times New Roman" w:hAnsi="Times New Roman"/>
                <w:sz w:val="24"/>
              </w:rPr>
              <w:t>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образовательное учреждение «Октябрьская средняя общеобразовательная школа № 1»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72 860,00000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1 011,00000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образовательное учреждение «Усть-Большерецкая средняя общеобразовательная </w:t>
            </w:r>
            <w:r>
              <w:rPr>
                <w:rFonts w:ascii="Times New Roman" w:hAnsi="Times New Roman"/>
                <w:sz w:val="24"/>
              </w:rPr>
              <w:t>школа № 2»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70 902,00000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1 863,00000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автономное образовательное учреждение «Озерновская средняя </w:t>
            </w:r>
            <w:r>
              <w:rPr>
                <w:rFonts w:ascii="Times New Roman" w:hAnsi="Times New Roman"/>
                <w:sz w:val="24"/>
              </w:rPr>
              <w:t>общеобразовательная школа № 3 Усть-Большерецкого муниципального района»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87 552,00000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7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образовательно</w:t>
            </w:r>
            <w:r>
              <w:rPr>
                <w:rFonts w:ascii="Times New Roman" w:hAnsi="Times New Roman"/>
                <w:sz w:val="24"/>
              </w:rPr>
              <w:t>е учреждение «Усть-Большерецкая районная вечерняя (сменная)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11 337,00000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F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0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Соболевский муниципальный округ 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общеобразовательное казенное учреждение «Соболевская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68 </w:t>
            </w:r>
            <w:r>
              <w:rPr>
                <w:rFonts w:ascii="Times New Roman" w:hAnsi="Times New Roman"/>
                <w:sz w:val="24"/>
              </w:rPr>
              <w:t>780,00000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1 395,00000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6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Быстринский муниципальный округ 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«Быстринская средняя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128 642,00000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2 958,00000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B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Олюторский муниципальный район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8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общеобразовательное учреждение «Тиличикская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119 797,00000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2 075,00000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общеобразовательное учреждение «Хаилинская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73 828,00000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879,00000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5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6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Карагинский муниципальный район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«Оссорская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129 581,00000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2 247,00000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B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C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Тигильский муниципальный округ Камчатского края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9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бюджетное общеобразовательное учреждение «Тигильская средняя </w:t>
            </w:r>
            <w:r>
              <w:rPr>
                <w:rFonts w:ascii="Times New Roman" w:hAnsi="Times New Roman"/>
                <w:sz w:val="24"/>
              </w:rPr>
              <w:t>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85 005,00000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1 985,00000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общеобразовательное учреждение «Усть-Хайрюзовская средняя общеобразовательная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70 856,00000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856,00000</w:t>
            </w:r>
          </w:p>
        </w:tc>
      </w:tr>
      <w:tr>
        <w:trPr>
          <w:trHeight w:hRule="atLeast" w:val="33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6010000">
            <w:pPr>
              <w:widowControl w:val="0"/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Пенжинский муниципальный район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казенное </w:t>
            </w:r>
            <w:r>
              <w:rPr>
                <w:rFonts w:ascii="Times New Roman" w:hAnsi="Times New Roman"/>
                <w:sz w:val="24"/>
              </w:rPr>
              <w:t>общеобразовательное учреждение «Каменская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69 623,00000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916,00000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A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общеобразовательное учреждение «Манильская средняя школа»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83 333,00000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1 298,00000</w:t>
            </w:r>
          </w:p>
        </w:tc>
      </w:tr>
    </w:tbl>
    <w:p w14:paraId="AF010000">
      <w:pPr>
        <w:spacing w:after="0" w:line="240" w:lineRule="auto"/>
        <w:ind w:firstLine="709" w:left="0"/>
        <w:jc w:val="center"/>
        <w:rPr>
          <w:sz w:val="28"/>
        </w:rPr>
      </w:pPr>
    </w:p>
    <w:p w14:paraId="B0010000">
      <w:pPr>
        <w:spacing w:after="0"/>
        <w:ind/>
        <w:jc w:val="right"/>
        <w:rPr>
          <w:rFonts w:ascii="Times New Roman" w:hAnsi="Times New Roman"/>
          <w:sz w:val="28"/>
        </w:rPr>
      </w:pPr>
    </w:p>
    <w:p w14:paraId="B1010000">
      <w:pPr>
        <w:spacing w:after="0"/>
        <w:ind/>
        <w:jc w:val="right"/>
        <w:rPr>
          <w:rFonts w:ascii="Times New Roman" w:hAnsi="Times New Roman"/>
          <w:sz w:val="28"/>
        </w:rPr>
      </w:pPr>
    </w:p>
    <w:p w14:paraId="B2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jc w:val="right"/>
        <w:tblLayout w:type="fixed"/>
      </w:tblPr>
      <w:tblGrid>
        <w:gridCol w:w="480"/>
        <w:gridCol w:w="1869"/>
        <w:gridCol w:w="486"/>
        <w:gridCol w:w="1701"/>
      </w:tblGrid>
      <w:tr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приложению  </w:t>
            </w:r>
          </w:p>
          <w:p w14:paraId="B401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постановлению Правительства</w:t>
            </w:r>
          </w:p>
        </w:tc>
      </w:tr>
      <w:tr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BA010000">
      <w:pPr>
        <w:spacing w:after="0"/>
        <w:ind/>
        <w:jc w:val="right"/>
        <w:rPr>
          <w:rFonts w:ascii="Times New Roman" w:hAnsi="Times New Roman"/>
          <w:sz w:val="28"/>
        </w:rPr>
      </w:pPr>
    </w:p>
    <w:p w14:paraId="BB010000">
      <w:pPr>
        <w:spacing w:after="0" w:line="240" w:lineRule="auto"/>
        <w:ind w:firstLine="5102" w:left="0"/>
        <w:jc w:val="both"/>
        <w:rPr>
          <w:rFonts w:ascii="Times New Roman" w:hAnsi="Times New Roman"/>
          <w:sz w:val="28"/>
        </w:rPr>
      </w:pPr>
    </w:p>
    <w:p w14:paraId="BC010000">
      <w:pPr>
        <w:spacing w:after="0" w:line="240" w:lineRule="auto"/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 xml:space="preserve">Методика </w:t>
      </w:r>
    </w:p>
    <w:p w14:paraId="BD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расчета нормативов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финансового обеспечения дополнительного образования детей в муни</w:t>
      </w:r>
      <w:r>
        <w:rPr>
          <w:rFonts w:ascii="Times New Roman" w:hAnsi="Times New Roman"/>
          <w:sz w:val="28"/>
        </w:rPr>
        <w:t xml:space="preserve">ципальных общеобразовательных организациях в Камчатском крае на </w:t>
      </w:r>
    </w:p>
    <w:p w14:paraId="BE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2026 год</w:t>
      </w:r>
    </w:p>
    <w:p w14:paraId="BF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001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Нормативы финансового обеспечения государственных гарантий реализации прав на получение </w:t>
      </w:r>
      <w:r>
        <w:rPr>
          <w:rFonts w:ascii="Times New Roman" w:hAnsi="Times New Roman"/>
          <w:sz w:val="28"/>
        </w:rPr>
        <w:t>общедоступного и бесплатного начального общего, основного общего, среднего общего образова</w:t>
      </w:r>
      <w:r>
        <w:rPr>
          <w:rFonts w:ascii="Times New Roman" w:hAnsi="Times New Roman"/>
          <w:sz w:val="28"/>
        </w:rPr>
        <w:t xml:space="preserve">ния, финансового обеспечения дополнительного образования детей в муниципальных общеобразовательных организациях в Камчатском крае на </w:t>
      </w:r>
      <w:r>
        <w:rPr>
          <w:rFonts w:ascii="Times New Roman" w:hAnsi="Times New Roman"/>
          <w:sz w:val="28"/>
        </w:rPr>
        <w:t>2026 год (далее – общеобразовательные организации), указанные в частях 1–3 приложения к настоящему постановлению (далее так</w:t>
      </w:r>
      <w:r>
        <w:rPr>
          <w:rFonts w:ascii="Times New Roman" w:hAnsi="Times New Roman"/>
          <w:sz w:val="28"/>
        </w:rPr>
        <w:t>же – Норматив), рассчитываются в соответствии с настоящей Методикой и включают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14:paraId="C101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финансового обеспечения дополнительного образования детей в муниципальных</w:t>
      </w:r>
      <w:r>
        <w:rPr>
          <w:rFonts w:ascii="Times New Roman" w:hAnsi="Times New Roman"/>
          <w:sz w:val="28"/>
        </w:rPr>
        <w:t xml:space="preserve"> общеобразовательных организациях в Камчатском крае (за исключением муниципальных малокомплектных образовательных организаций и муниципальных образовательных организаций, расположенных в сельских населенных пунктах и реализующих основные общеобразовательны</w:t>
      </w:r>
      <w:r>
        <w:rPr>
          <w:rFonts w:ascii="Times New Roman" w:hAnsi="Times New Roman"/>
          <w:sz w:val="28"/>
        </w:rPr>
        <w:t>е программы) на 2026 год</w:t>
      </w:r>
      <w:r>
        <w:rPr>
          <w:rFonts w:ascii="Times New Roman" w:hAnsi="Times New Roman"/>
          <w:sz w:val="28"/>
        </w:rPr>
        <w:t>, указанные в части 1 приложения к настоящему постановлению, определяются в расчете на одного учащегося исходя из:</w:t>
      </w:r>
    </w:p>
    <w:p w14:paraId="C201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численности учащихся по основным общеобразовательным программам в общеобразовательных организациях;</w:t>
      </w:r>
    </w:p>
    <w:p w14:paraId="C3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численности</w:t>
      </w:r>
      <w:r>
        <w:rPr>
          <w:rFonts w:ascii="Times New Roman" w:hAnsi="Times New Roman"/>
          <w:sz w:val="28"/>
        </w:rPr>
        <w:t xml:space="preserve"> учащихся, осваивающих основные общеобразовательные программы на дому или в медицинских организациях.</w:t>
      </w:r>
    </w:p>
    <w:p w14:paraId="C4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 приобретение образовательными организациями, указанными в части 2 настоящей Методики, школьной мебели для учебных кабинетов при условии полного обес</w:t>
      </w:r>
      <w:r>
        <w:rPr>
          <w:rFonts w:ascii="Times New Roman" w:hAnsi="Times New Roman"/>
          <w:sz w:val="28"/>
        </w:rPr>
        <w:t>печения оплаты труда, приобретения учебников и учебных пособий</w:t>
      </w:r>
      <w:r>
        <w:rPr>
          <w:rFonts w:ascii="Times New Roman" w:hAnsi="Times New Roman"/>
          <w:sz w:val="28"/>
        </w:rPr>
        <w:t>, средств обучения, игр, игрушек</w:t>
      </w:r>
      <w:r>
        <w:rPr>
          <w:rFonts w:ascii="Times New Roman" w:hAnsi="Times New Roman"/>
          <w:sz w:val="28"/>
        </w:rPr>
        <w:t xml:space="preserve"> направляется не более 10 процентов от норматива на обеспечение образовательного процесса в общеобразовательных организациях, установленного настоящим приложением</w:t>
      </w:r>
      <w:r>
        <w:rPr>
          <w:rFonts w:ascii="Times New Roman" w:hAnsi="Times New Roman"/>
          <w:sz w:val="28"/>
        </w:rPr>
        <w:t>.</w:t>
      </w:r>
    </w:p>
    <w:p w14:paraId="C5010000">
      <w:pPr>
        <w:pStyle w:val="Style_5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финансового обеспечения дополнительного образования детей в муниципа</w:t>
      </w:r>
      <w:r>
        <w:rPr>
          <w:rFonts w:ascii="Times New Roman" w:hAnsi="Times New Roman"/>
          <w:sz w:val="28"/>
        </w:rPr>
        <w:t xml:space="preserve">льных малокомплектных образовательных организациях в Камчатском крае на 2026 год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малокомплектные образовательные организации), указанные в части 2 приложения к настоящему постановлению, определяются вне зависимости от количества учащихся, при этом</w:t>
      </w:r>
      <w:r>
        <w:rPr>
          <w:rFonts w:ascii="Times New Roman" w:hAnsi="Times New Roman"/>
          <w:sz w:val="28"/>
        </w:rPr>
        <w:t xml:space="preserve"> учитываются:</w:t>
      </w:r>
    </w:p>
    <w:p w14:paraId="C6010000">
      <w:pPr>
        <w:pStyle w:val="Style_5"/>
        <w:numPr>
          <w:ilvl w:val="0"/>
          <w:numId w:val="2"/>
        </w:numPr>
        <w:spacing w:before="220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нормативные затраты на оплату труда работников малокомплектных образовательных организаций;</w:t>
      </w:r>
    </w:p>
    <w:p w14:paraId="C7010000">
      <w:pPr>
        <w:pStyle w:val="Style_5"/>
        <w:numPr>
          <w:ilvl w:val="0"/>
          <w:numId w:val="2"/>
        </w:numPr>
        <w:spacing w:before="220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нормативные затраты на обеспечение образовательного процесса в  малокомплектных образовательных организациях</w:t>
      </w:r>
    </w:p>
    <w:p w14:paraId="C8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 приобретение образовательными орган</w:t>
      </w:r>
      <w:r>
        <w:rPr>
          <w:rFonts w:ascii="Times New Roman" w:hAnsi="Times New Roman"/>
          <w:sz w:val="28"/>
        </w:rPr>
        <w:t xml:space="preserve">изациями, указанными в части 4 настоящей Методики, школьной мебели для учебных кабинетов при условии полного обеспечения оплаты труда, приобретения учебников и учебных пособий </w:t>
      </w:r>
      <w:r>
        <w:rPr>
          <w:rFonts w:ascii="Times New Roman" w:hAnsi="Times New Roman"/>
          <w:sz w:val="28"/>
        </w:rPr>
        <w:t>, средств обучения, игр, игрушек</w:t>
      </w:r>
      <w:r>
        <w:rPr>
          <w:rFonts w:ascii="Times New Roman" w:hAnsi="Times New Roman"/>
          <w:sz w:val="28"/>
        </w:rPr>
        <w:t xml:space="preserve"> направляется, направляется не более 0,5 процент</w:t>
      </w:r>
      <w:r>
        <w:rPr>
          <w:rFonts w:ascii="Times New Roman" w:hAnsi="Times New Roman"/>
          <w:sz w:val="28"/>
        </w:rPr>
        <w:t>а от норматива, установленного настоящим приложением.</w:t>
      </w:r>
    </w:p>
    <w:p w14:paraId="C9010000">
      <w:pPr>
        <w:pStyle w:val="Style_5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Нормативы финансового обеспечения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финансового обес</w:t>
      </w:r>
      <w:r>
        <w:rPr>
          <w:rFonts w:ascii="Times New Roman" w:hAnsi="Times New Roman"/>
          <w:sz w:val="28"/>
        </w:rPr>
        <w:t xml:space="preserve">печения дополнительного образования детей в муниципальных образовательных организациях, расположенных в сельских населенных пунктах и реализующих основные общеобразовательные программы, в Камчатском крае на 2026 год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сельские образовательные органи</w:t>
      </w:r>
      <w:r>
        <w:rPr>
          <w:rFonts w:ascii="Times New Roman" w:hAnsi="Times New Roman"/>
          <w:sz w:val="28"/>
        </w:rPr>
        <w:t>зации), указанные в части 3 приложения к настоящему постановлению, определяются вне зависимости от количества учащихся, при этом учитываются:</w:t>
      </w:r>
    </w:p>
    <w:p w14:paraId="CA010000">
      <w:pPr>
        <w:pStyle w:val="Style_5"/>
        <w:numPr>
          <w:ilvl w:val="0"/>
          <w:numId w:val="3"/>
        </w:numPr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нормативные затраты на оплату труда работников сельских образовательных организаций;</w:t>
      </w:r>
    </w:p>
    <w:p w14:paraId="CB010000">
      <w:pPr>
        <w:pStyle w:val="Style_5"/>
        <w:numPr>
          <w:ilvl w:val="0"/>
          <w:numId w:val="3"/>
        </w:numPr>
        <w:spacing w:before="220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нормативные затраты</w:t>
      </w:r>
      <w:r>
        <w:rPr>
          <w:rFonts w:ascii="Times New Roman" w:hAnsi="Times New Roman"/>
          <w:sz w:val="28"/>
        </w:rPr>
        <w:t xml:space="preserve"> на обеспечение образовательного процесса в сельских образовательных организациях</w:t>
      </w:r>
    </w:p>
    <w:p w14:paraId="CC01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7. На приобретение образовательными организациями, указанными в части 6 настоящей Методики, школьной мебели для учебных кабинетов при условии полного обеспечения оплаты труда</w:t>
      </w:r>
      <w:r>
        <w:rPr>
          <w:rFonts w:ascii="Times New Roman" w:hAnsi="Times New Roman"/>
          <w:sz w:val="28"/>
        </w:rPr>
        <w:t xml:space="preserve">, приобретения учебников и учебных пособий </w:t>
      </w:r>
      <w:r>
        <w:rPr>
          <w:rFonts w:ascii="Times New Roman" w:hAnsi="Times New Roman"/>
          <w:sz w:val="28"/>
        </w:rPr>
        <w:t>, средств обучения, игр, игрушек</w:t>
      </w:r>
      <w:r>
        <w:rPr>
          <w:rFonts w:ascii="Times New Roman" w:hAnsi="Times New Roman"/>
          <w:sz w:val="28"/>
        </w:rPr>
        <w:t xml:space="preserve"> направляется не более 0,5 процента от норматива, установленного настоящим приложением.</w:t>
      </w:r>
    </w:p>
    <w:p w14:paraId="CD01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Объем Норматива финансового обеспечения государственных гарантий реализации прав на получе</w:t>
      </w:r>
      <w:r>
        <w:rPr>
          <w:rFonts w:ascii="Times New Roman" w:hAnsi="Times New Roman"/>
          <w:sz w:val="28"/>
        </w:rPr>
        <w:t>ние общедоступного и бесплатного начального общего, основного общего, среднего общего образования, финансового обеспечения дополнительного образования детей в общеобразовательных организациях определяются по следующей формуле:</w:t>
      </w:r>
    </w:p>
    <w:p w14:paraId="CE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CF010000">
      <w:pPr>
        <w:widowControl w:val="0"/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= Б</w:t>
      </w:r>
      <w:r>
        <w:rPr>
          <w:rFonts w:ascii="Times New Roman" w:hAnsi="Times New Roman"/>
          <w:sz w:val="28"/>
          <w:vertAlign w:val="superscript"/>
        </w:rPr>
        <w:t>ОТ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+ Б</w:t>
      </w:r>
      <w:r>
        <w:rPr>
          <w:rFonts w:ascii="Times New Roman" w:hAnsi="Times New Roman"/>
          <w:sz w:val="28"/>
          <w:vertAlign w:val="superscript"/>
        </w:rPr>
        <w:t>уч</w:t>
      </w:r>
      <w:r>
        <w:rPr>
          <w:rFonts w:ascii="Times New Roman" w:hAnsi="Times New Roman"/>
          <w:sz w:val="28"/>
        </w:rPr>
        <w:t>, где:</w:t>
      </w:r>
    </w:p>
    <w:p w14:paraId="D0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D1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объем финансового обеспечения государственных гарантий реализации прав на получение общедоступного и бесплатного начального </w:t>
      </w:r>
      <w:r>
        <w:rPr>
          <w:rFonts w:ascii="Times New Roman" w:hAnsi="Times New Roman"/>
          <w:sz w:val="28"/>
        </w:rPr>
        <w:t>общего, основного общего, среднего общего образования, финансового обеспечения дополнительного образования детей в общеобразовательн</w:t>
      </w:r>
      <w:r>
        <w:rPr>
          <w:rFonts w:ascii="Times New Roman" w:hAnsi="Times New Roman"/>
          <w:sz w:val="28"/>
        </w:rPr>
        <w:t>ых организациях на очередной финансовый год в j-том муниципальном образовании в Камчатском крае (далее – муниципальное образование);</w:t>
      </w:r>
    </w:p>
    <w:p w14:paraId="D2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  <w:vertAlign w:val="superscript"/>
        </w:rPr>
        <w:t>ОТ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– нормативные затраты на оплату труда работников общеобразовательных организаций в расчете на одного учащегося на очер</w:t>
      </w:r>
      <w:r>
        <w:rPr>
          <w:rFonts w:ascii="Times New Roman" w:hAnsi="Times New Roman"/>
          <w:sz w:val="28"/>
        </w:rPr>
        <w:t>едной финансовый год в j-том муниципальном образовании;</w:t>
      </w:r>
    </w:p>
    <w:p w14:paraId="D3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  <w:vertAlign w:val="superscript"/>
        </w:rPr>
        <w:t>уч</w:t>
      </w:r>
      <w:r>
        <w:rPr>
          <w:rFonts w:ascii="Times New Roman" w:hAnsi="Times New Roman"/>
          <w:sz w:val="28"/>
        </w:rPr>
        <w:t xml:space="preserve"> – норматив на обеспечение образовательного процесса в общеобразовательных организациях на очередной финансовый год.</w:t>
      </w:r>
    </w:p>
    <w:p w14:paraId="D4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  <w:vertAlign w:val="superscript"/>
        </w:rPr>
        <w:t>ОТ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и Б</w:t>
      </w:r>
      <w:r>
        <w:rPr>
          <w:rFonts w:ascii="Times New Roman" w:hAnsi="Times New Roman"/>
          <w:sz w:val="28"/>
          <w:vertAlign w:val="superscript"/>
        </w:rPr>
        <w:t>УЧ</w:t>
      </w:r>
      <w:r>
        <w:rPr>
          <w:rFonts w:ascii="Times New Roman" w:hAnsi="Times New Roman"/>
          <w:sz w:val="28"/>
          <w:vertAlign w:val="subscript"/>
        </w:rPr>
        <w:t xml:space="preserve">j </w:t>
      </w:r>
      <w:r>
        <w:rPr>
          <w:rFonts w:ascii="Times New Roman" w:hAnsi="Times New Roman"/>
          <w:sz w:val="28"/>
        </w:rPr>
        <w:t>для нормативов, указанных в части 1 приложения к настоящему постанов</w:t>
      </w:r>
      <w:r>
        <w:rPr>
          <w:rFonts w:ascii="Times New Roman" w:hAnsi="Times New Roman"/>
          <w:sz w:val="28"/>
        </w:rPr>
        <w:t>лению, определяются в расчете на одного учащегося, а для нормативов, указанных в частях 2 и 3 приложения к настоящему постановлению, определяются в расчете на число классов образовательной организации.</w:t>
      </w:r>
    </w:p>
    <w:p w14:paraId="D5010000">
      <w:pPr>
        <w:widowControl w:val="0"/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Нормативные затраты на оплату труда  на очередной ф</w:t>
      </w:r>
      <w:r>
        <w:rPr>
          <w:rFonts w:ascii="Times New Roman" w:hAnsi="Times New Roman"/>
          <w:sz w:val="28"/>
        </w:rPr>
        <w:t>инансовый год в j-том муниципальном образовании определяются по следующей формуле:</w:t>
      </w:r>
    </w:p>
    <w:p w14:paraId="D6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D7010000">
      <w:pPr>
        <w:widowControl w:val="0"/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  <w:vertAlign w:val="superscript"/>
        </w:rPr>
        <w:t>ОТ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= (∑ФОТ</w:t>
      </w:r>
      <w:r>
        <w:rPr>
          <w:rFonts w:ascii="Times New Roman" w:hAnsi="Times New Roman"/>
          <w:sz w:val="28"/>
          <w:vertAlign w:val="superscript"/>
        </w:rPr>
        <w:t>экз</w:t>
      </w:r>
      <w:r>
        <w:rPr>
          <w:rFonts w:ascii="Times New Roman" w:hAnsi="Times New Roman"/>
          <w:sz w:val="28"/>
          <w:vertAlign w:val="subscript"/>
        </w:rPr>
        <w:t xml:space="preserve">j </w:t>
      </w:r>
      <w:r>
        <w:rPr>
          <w:rFonts w:ascii="Times New Roman" w:hAnsi="Times New Roman"/>
          <w:sz w:val="28"/>
        </w:rPr>
        <w:t>+Б</w:t>
      </w:r>
      <w:r>
        <w:rPr>
          <w:rFonts w:ascii="Times New Roman" w:hAnsi="Times New Roman"/>
          <w:sz w:val="28"/>
          <w:vertAlign w:val="superscript"/>
        </w:rPr>
        <w:t>общ</w:t>
      </w:r>
      <w:r>
        <w:rPr>
          <w:rFonts w:ascii="Times New Roman" w:hAnsi="Times New Roman"/>
          <w:sz w:val="28"/>
        </w:rPr>
        <w:t xml:space="preserve"> × Ч</w:t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t xml:space="preserve"> ×К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) / Ч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>, где:</w:t>
      </w:r>
    </w:p>
    <w:p w14:paraId="D8010000">
      <w:pPr>
        <w:widowControl w:val="0"/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D9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</w:t>
      </w:r>
      <w:r>
        <w:rPr>
          <w:rFonts w:ascii="Times New Roman" w:hAnsi="Times New Roman"/>
          <w:sz w:val="28"/>
          <w:vertAlign w:val="superscript"/>
        </w:rPr>
        <w:t>экз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– годовой фонд оплаты труда специалистов, привлекаемых к проведению единого государственного экзамена, на очередной ф</w:t>
      </w:r>
      <w:r>
        <w:rPr>
          <w:rFonts w:ascii="Times New Roman" w:hAnsi="Times New Roman"/>
          <w:sz w:val="28"/>
        </w:rPr>
        <w:t xml:space="preserve">инансовый год, который рассчитывается по формуле: </w:t>
      </w:r>
    </w:p>
    <w:p w14:paraId="DA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DB010000">
      <w:pPr>
        <w:widowControl w:val="0"/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</w:t>
      </w:r>
      <w:r>
        <w:rPr>
          <w:rFonts w:ascii="Times New Roman" w:hAnsi="Times New Roman"/>
          <w:sz w:val="28"/>
          <w:vertAlign w:val="superscript"/>
        </w:rPr>
        <w:t>экз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= С</w:t>
      </w:r>
      <w:r>
        <w:rPr>
          <w:rFonts w:ascii="Times New Roman" w:hAnsi="Times New Roman"/>
          <w:sz w:val="28"/>
          <w:vertAlign w:val="subscript"/>
        </w:rPr>
        <w:t>Т</w:t>
      </w:r>
      <w:r>
        <w:rPr>
          <w:rFonts w:ascii="Times New Roman" w:hAnsi="Times New Roman"/>
          <w:sz w:val="28"/>
          <w:vertAlign w:val="superscript"/>
        </w:rPr>
        <w:t>эк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× Уч</w:t>
      </w:r>
      <w:r>
        <w:rPr>
          <w:rFonts w:ascii="Times New Roman" w:hAnsi="Times New Roman"/>
          <w:sz w:val="28"/>
          <w:vertAlign w:val="superscript"/>
        </w:rPr>
        <w:t>вып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× 4,0, где:</w:t>
      </w:r>
    </w:p>
    <w:p w14:paraId="DC010000">
      <w:pPr>
        <w:widowControl w:val="0"/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DD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  <w:vertAlign w:val="subscript"/>
        </w:rPr>
        <w:t>Т</w:t>
      </w:r>
      <w:r>
        <w:rPr>
          <w:rFonts w:ascii="Times New Roman" w:hAnsi="Times New Roman"/>
          <w:sz w:val="28"/>
          <w:vertAlign w:val="superscript"/>
        </w:rPr>
        <w:t>эк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– средняя стоимость одного человеко-экзамена в очередном финансовом году по данным исполнительного органа Камчатского края, осуществляющего государственное упра</w:t>
      </w:r>
      <w:r>
        <w:rPr>
          <w:rFonts w:ascii="Times New Roman" w:hAnsi="Times New Roman"/>
          <w:sz w:val="28"/>
        </w:rPr>
        <w:t>вление в сфере образования;</w:t>
      </w:r>
    </w:p>
    <w:p w14:paraId="DE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</w:t>
      </w:r>
      <w:r>
        <w:rPr>
          <w:rFonts w:ascii="Times New Roman" w:hAnsi="Times New Roman"/>
          <w:sz w:val="28"/>
          <w:vertAlign w:val="superscript"/>
        </w:rPr>
        <w:t>вып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– прогнозируемая численность учащихся, выпускаемых из общеобразовательных организаций, по данным статистического отчета формы № ОО-1 на 20 сентября отчетного финансового года;</w:t>
      </w:r>
    </w:p>
    <w:p w14:paraId="DF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4,0 – среднее число экзаменов, сдаваемых </w:t>
      </w:r>
      <w:r>
        <w:rPr>
          <w:rFonts w:ascii="Times New Roman" w:hAnsi="Times New Roman"/>
          <w:sz w:val="28"/>
        </w:rPr>
        <w:t>одним учащимся в режиме единого государственного экзамена.</w:t>
      </w:r>
    </w:p>
    <w:p w14:paraId="E0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  <w:vertAlign w:val="superscript"/>
        </w:rPr>
        <w:t>общ</w:t>
      </w:r>
      <w:r>
        <w:rPr>
          <w:rFonts w:ascii="Times New Roman" w:hAnsi="Times New Roman"/>
          <w:sz w:val="28"/>
        </w:rPr>
        <w:t xml:space="preserve"> – норматив расходов на оплату труда работников общеобразовательных организаций на очередной финансовый год формируется с учетом расходов на:</w:t>
      </w:r>
    </w:p>
    <w:p w14:paraId="E1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ежемесячные доплаты к заработной плате педагогическим работникам за наличие государственных наград СССР, РСФСР и Российской Федерации; </w:t>
      </w:r>
    </w:p>
    <w:p w14:paraId="E2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ежемесячные доплаты к заработной плате работникам, имеющим ученые степени доктора наук, кандидата наук; </w:t>
      </w:r>
    </w:p>
    <w:p w14:paraId="E3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оплату труда пе</w:t>
      </w:r>
      <w:r>
        <w:rPr>
          <w:rFonts w:ascii="Times New Roman" w:hAnsi="Times New Roman"/>
          <w:sz w:val="28"/>
        </w:rPr>
        <w:t>дагогическим работникам, привлекаемым к дистанционному образованию учащихся общеобразовательных организаций, расположенных в отдаленных и труднодоступных местностях Камчатского края, а также учащихся из числа детей-инвалидов;</w:t>
      </w:r>
    </w:p>
    <w:p w14:paraId="E401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выплаты премий за многолетний </w:t>
      </w:r>
      <w:r>
        <w:rPr>
          <w:rFonts w:ascii="Times New Roman" w:hAnsi="Times New Roman"/>
          <w:sz w:val="28"/>
        </w:rPr>
        <w:t>и добросовестный труд;</w:t>
      </w:r>
    </w:p>
    <w:p w14:paraId="E501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выплаты ежегодных денежных пособий специалистам, окончившим профессиональные образовательные организации или образовательные организации высшего образования впервые и приступившим к педагогической деятельности в образовательных орган</w:t>
      </w:r>
      <w:r>
        <w:rPr>
          <w:rFonts w:ascii="Times New Roman" w:hAnsi="Times New Roman"/>
          <w:sz w:val="28"/>
        </w:rPr>
        <w:t>изациях;</w:t>
      </w:r>
    </w:p>
    <w:p w14:paraId="E601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выплаты ежемесячной денежной компенсации педагогическим работникам на обеспечение книгоиздательской продукцией и периодическими изданиями, включаемой в оклады (должностные оклады) педагогических работников;</w:t>
      </w:r>
    </w:p>
    <w:p w14:paraId="E7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  <w:vertAlign w:val="subscript"/>
        </w:rPr>
        <w:t>ij</w:t>
      </w:r>
      <w:r>
        <w:rPr>
          <w:rFonts w:ascii="Times New Roman" w:hAnsi="Times New Roman"/>
          <w:sz w:val="28"/>
        </w:rPr>
        <w:t xml:space="preserve"> – численность учащихся, осваивающих </w:t>
      </w:r>
      <w:r>
        <w:rPr>
          <w:rFonts w:ascii="Times New Roman" w:hAnsi="Times New Roman"/>
          <w:sz w:val="28"/>
        </w:rPr>
        <w:t>i-тую основную общеобразовательную программу в общеобразовательных организациях, на дому или в медицинских организациях в j-том муниципальном образовании по данным статистического отчета формы № ОО-1 на 20 сентября отчетного финансового года;</w:t>
      </w:r>
    </w:p>
    <w:p w14:paraId="E801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коэффиц</w:t>
      </w:r>
      <w:bookmarkStart w:id="3" w:name="_GoBack"/>
      <w:bookmarkEnd w:id="3"/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ент, учитывающий удорожание реализации образовательной программы в зависимости от основной общеобразовательной программы или специфики деятельности общеобразовательных организаций, определяемый в соответствии с таблицей: </w:t>
      </w: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3402"/>
        <w:gridCol w:w="851"/>
        <w:gridCol w:w="709"/>
        <w:gridCol w:w="992"/>
        <w:gridCol w:w="850"/>
        <w:gridCol w:w="851"/>
        <w:gridCol w:w="1417"/>
      </w:tblGrid>
      <w:tr>
        <w:trPr>
          <w:trHeight w:hRule="atLeast" w:val="77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widowControl w:val="0"/>
              <w:spacing w:after="0" w:line="240" w:lineRule="auto"/>
              <w:ind w:firstLine="0" w:left="-565"/>
              <w:rPr>
                <w:rFonts w:ascii="Times New Roman" w:hAnsi="Times New Roman"/>
              </w:rPr>
            </w:pPr>
          </w:p>
        </w:tc>
        <w:tc>
          <w:tcPr>
            <w:tcW w:type="dxa" w:w="25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поселение,</w:t>
            </w:r>
          </w:p>
          <w:p w14:paraId="E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</w:t>
            </w:r>
            <w:r>
              <w:rPr>
                <w:rFonts w:ascii="Times New Roman" w:hAnsi="Times New Roman"/>
              </w:rPr>
              <w:t>кой округ</w:t>
            </w:r>
          </w:p>
        </w:tc>
        <w:tc>
          <w:tcPr>
            <w:tcW w:type="dxa" w:w="3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поселение</w:t>
            </w:r>
          </w:p>
        </w:tc>
      </w:tr>
      <w:tr>
        <w:trPr>
          <w:trHeight w:hRule="atLeast" w:val="31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widowControl w:val="0"/>
              <w:spacing w:after="0" w:line="240" w:lineRule="auto"/>
              <w:ind w:firstLine="0" w:left="-68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1–4 классы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widowControl w:val="0"/>
              <w:spacing w:after="0" w:line="240" w:lineRule="auto"/>
              <w:ind w:firstLine="0" w:left="-6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5–9 классы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widowControl w:val="0"/>
              <w:spacing w:after="0" w:line="240" w:lineRule="auto"/>
              <w:ind w:firstLine="0" w:left="-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10–11(12) классы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widowControl w:val="0"/>
              <w:spacing w:after="0" w:line="240" w:lineRule="auto"/>
              <w:ind w:firstLine="0" w:left="-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1–4 </w:t>
            </w:r>
          </w:p>
          <w:p w14:paraId="F2010000">
            <w:pPr>
              <w:widowControl w:val="0"/>
              <w:spacing w:after="0" w:line="240" w:lineRule="auto"/>
              <w:ind w:firstLine="0" w:left="-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widowControl w:val="0"/>
              <w:spacing w:after="0" w:line="240" w:lineRule="auto"/>
              <w:ind w:firstLine="0" w:left="-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5–9 </w:t>
            </w:r>
          </w:p>
          <w:p w14:paraId="F4010000">
            <w:pPr>
              <w:widowControl w:val="0"/>
              <w:spacing w:after="0" w:line="240" w:lineRule="auto"/>
              <w:ind w:firstLine="0" w:left="-6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widowControl w:val="0"/>
              <w:spacing w:after="0" w:line="240" w:lineRule="auto"/>
              <w:ind w:firstLine="0" w:left="-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10–11(12) классы</w:t>
            </w:r>
          </w:p>
        </w:tc>
      </w:tr>
    </w:tbl>
    <w:p w14:paraId="F6010000">
      <w:pPr>
        <w:spacing w:after="0"/>
        <w:ind/>
        <w:rPr>
          <w:sz w:val="2"/>
        </w:rPr>
      </w:pP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3402"/>
        <w:gridCol w:w="851"/>
        <w:gridCol w:w="709"/>
        <w:gridCol w:w="992"/>
        <w:gridCol w:w="850"/>
        <w:gridCol w:w="851"/>
        <w:gridCol w:w="1417"/>
      </w:tblGrid>
      <w:tr>
        <w:trPr>
          <w:trHeight w:hRule="atLeast" w:val="343"/>
          <w:tblHeader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07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Классы в муниципальных общеобразовательных организациях в Камчатском крае, реализующих основные общеобразовательные </w:t>
            </w:r>
            <w:r>
              <w:rPr>
                <w:rFonts w:ascii="Times New Roman" w:hAnsi="Times New Roman"/>
              </w:rPr>
              <w:t>программы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1,000</w:t>
            </w:r>
          </w:p>
        </w:tc>
      </w:tr>
      <w:tr>
        <w:trPr>
          <w:trHeight w:hRule="atLeast" w:val="72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Лицейские, гимназические классы, классы углубленного изучения отдельных предметов, профильные классы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Лицейские, гимназические классы, классы углубленного изучения </w:t>
            </w:r>
            <w:r>
              <w:rPr>
                <w:rFonts w:ascii="Times New Roman" w:hAnsi="Times New Roman"/>
              </w:rPr>
              <w:t>отдельных предметов в муниципальных общеобразовательных организациях в Камчатском крае, работающих в инновационном режиме краевого уровня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1,300</w:t>
            </w:r>
          </w:p>
        </w:tc>
      </w:tr>
      <w:tr>
        <w:trPr>
          <w:trHeight w:hRule="atLeast" w:val="96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Классы в муниципальных общеобразовательных организациях в Камчатском крае, </w:t>
            </w:r>
            <w:r>
              <w:rPr>
                <w:rFonts w:ascii="Times New Roman" w:hAnsi="Times New Roman"/>
              </w:rPr>
              <w:t>работающих в инновационном режиме краевого уровня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1,150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 в муниципальных общеобразовательных организациях в Камчатском крае, работающих в инновационном режиме федерального уровня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1,200</w:t>
            </w:r>
          </w:p>
        </w:tc>
      </w:tr>
      <w:tr>
        <w:trPr>
          <w:trHeight w:hRule="atLeast" w:val="1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 компенсирующего обучения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1,917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1,917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1,917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1,073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1,073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1,073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 в муниципальных общеобразовательных организациях, расположенных в отдаленных микрорайонах Петропавловск-Камчатского городского округа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1,786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1,786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1,786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20000">
            <w:pPr>
              <w:spacing w:after="0" w:line="240" w:lineRule="auto"/>
              <w:ind/>
              <w:jc w:val="center"/>
            </w:pPr>
            <w: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Классы в </w:t>
            </w:r>
            <w:r>
              <w:rPr>
                <w:rFonts w:ascii="Times New Roman" w:hAnsi="Times New Roman"/>
              </w:rPr>
              <w:t>муниципальных общеобразовательных организациях в Камчатском крае, расположенных в городских поселениях с численностью населения менее 4,0 тыс. человек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2,232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2,232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2,232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Классы в муниципальных общеобразовательных организациях в Камчатском крае, </w:t>
            </w:r>
            <w:r>
              <w:rPr>
                <w:rFonts w:ascii="Times New Roman" w:hAnsi="Times New Roman"/>
              </w:rPr>
              <w:t>расположенных в сельских поселениях с численностью населения более 8,0 тыс. человек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0,597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 в вечерних (сменных) общеобразовательных школах: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hRule="atLeast" w:val="10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очной формы обучения;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0,640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0,597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0,564</w:t>
            </w:r>
          </w:p>
        </w:tc>
      </w:tr>
      <w:tr>
        <w:trPr>
          <w:trHeight w:hRule="atLeast" w:val="17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заочной </w:t>
            </w:r>
            <w:r>
              <w:rPr>
                <w:rFonts w:ascii="Times New Roman" w:hAnsi="Times New Roman"/>
              </w:rPr>
              <w:t>формы обучения;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0,343</w:t>
            </w:r>
          </w:p>
        </w:tc>
      </w:tr>
      <w:tr>
        <w:trPr>
          <w:trHeight w:hRule="atLeast" w:val="43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лиц, осужденных к лишению свободы в исправительных колониях строгого режима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1,750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лиц, осужденных к лишению свободы в исправительных колониях особого режима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2,28</w:t>
            </w:r>
          </w:p>
        </w:tc>
      </w:tr>
      <w:tr>
        <w:trPr>
          <w:trHeight w:hRule="atLeast" w:val="61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 для детей с ограниченными возможностями здоровья в соответствии с нозологией: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hRule="atLeast" w:val="20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задержкой психического развития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2,936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2,285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1,651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1,285</w:t>
            </w:r>
          </w:p>
        </w:tc>
      </w:tr>
      <w:tr>
        <w:trPr>
          <w:trHeight w:hRule="atLeast" w:val="9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11.2.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обучающиеся с расстройством аутического </w:t>
            </w:r>
            <w:r>
              <w:rPr>
                <w:rFonts w:ascii="Times New Roman" w:hAnsi="Times New Roman"/>
              </w:rPr>
              <w:t xml:space="preserve">спектра, обучающиеся с умственной </w:t>
            </w:r>
            <w:r>
              <w:rPr>
                <w:rFonts w:ascii="Times New Roman" w:hAnsi="Times New Roman"/>
              </w:rPr>
              <w:t>отсталостью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3,470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3,147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1,770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1,645</w:t>
            </w:r>
          </w:p>
        </w:tc>
      </w:tr>
      <w:tr>
        <w:trPr>
          <w:trHeight w:hRule="atLeast" w:val="14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глухие обучающиеся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3,376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1,899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1,547</w:t>
            </w:r>
          </w:p>
        </w:tc>
      </w:tr>
      <w:tr>
        <w:trPr>
          <w:trHeight w:hRule="atLeast" w:val="22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слабослышащие и позднооглохшие обучающиеся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2,240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1,248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1,260</w:t>
            </w:r>
          </w:p>
        </w:tc>
      </w:tr>
      <w:tr>
        <w:trPr>
          <w:trHeight w:hRule="atLeast" w:val="16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слепые обучающиеся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2,936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2,390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2,476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1,651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1,344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1,392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11.6.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тяжелым нарушением речи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2,525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2,189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1,231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1,269</w:t>
            </w:r>
          </w:p>
        </w:tc>
      </w:tr>
      <w:tr>
        <w:trPr>
          <w:trHeight w:hRule="atLeast" w:val="9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11.7.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слабовидящие обучающиеся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2,071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2,146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1,409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1,207</w:t>
            </w:r>
          </w:p>
        </w:tc>
      </w:tr>
      <w:tr>
        <w:trPr>
          <w:trHeight w:hRule="atLeast" w:val="1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11.8.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обучающиеся с нарушением опорно-двигательного аппарата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2,156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2,152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1,210</w:t>
            </w:r>
          </w:p>
        </w:tc>
      </w:tr>
      <w:tr>
        <w:trPr>
          <w:trHeight w:hRule="atLeast" w:val="1318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 в Камчатском крае, в которых созданы условия для инклюзивного образования (на одного обучающегося), для: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>
        <w:trPr>
          <w:trHeight w:hRule="atLeast" w:val="32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обучающихся с задержкой психического развития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2,936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2,321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2,285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1,651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1,306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1,285</w:t>
            </w:r>
          </w:p>
        </w:tc>
      </w:tr>
      <w:tr>
        <w:trPr>
          <w:trHeight w:hRule="atLeast" w:val="54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обучающихся с расстройством аутического спектра, обучающихся с умственной отсталостью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3,470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3,147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2,926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1,770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1,645</w:t>
            </w:r>
          </w:p>
        </w:tc>
      </w:tr>
      <w:tr>
        <w:trPr>
          <w:trHeight w:hRule="atLeast" w:val="12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C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глухих обучающихся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3,376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1,899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1,581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1,547</w:t>
            </w:r>
          </w:p>
        </w:tc>
      </w:tr>
      <w:tr>
        <w:trPr>
          <w:trHeight w:hRule="atLeast" w:val="28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слабослышащих и </w:t>
            </w:r>
            <w:r>
              <w:rPr>
                <w:rFonts w:ascii="Times New Roman" w:hAnsi="Times New Roman"/>
              </w:rPr>
              <w:t>позднооглохших обучающихся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2,240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1,248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1,260</w:t>
            </w:r>
          </w:p>
        </w:tc>
      </w:tr>
      <w:tr>
        <w:trPr>
          <w:trHeight w:hRule="atLeast" w:val="22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слепых обучающихся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2,936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2,390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2,476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1,651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1,344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1,392</w:t>
            </w:r>
          </w:p>
        </w:tc>
      </w:tr>
      <w:tr>
        <w:trPr>
          <w:trHeight w:hRule="atLeast" w:val="291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12.6.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обучающихся с тяжелым нарушением речи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2,525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2,189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1,231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1,269</w:t>
            </w:r>
          </w:p>
        </w:tc>
      </w:tr>
      <w:tr>
        <w:trPr>
          <w:trHeight w:hRule="atLeast" w:val="29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12.7.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слабовидящих обучающихся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2,505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2,071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2,146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1,409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1,207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7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12.8.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2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обучающихся с нарушением опорно-двигательного аппарата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2,156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2,152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1,210</w:t>
            </w:r>
          </w:p>
        </w:tc>
      </w:tr>
      <w:tr>
        <w:trPr>
          <w:trHeight w:hRule="atLeast" w:val="4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FF020000">
            <w:pPr>
              <w:widowControl w:val="0"/>
              <w:spacing w:after="0" w:line="240" w:lineRule="auto"/>
              <w:ind w:firstLine="0" w:left="-67" w:righ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widowControl w:val="0"/>
              <w:spacing w:after="0" w:line="240" w:lineRule="auto"/>
              <w:ind w:firstLine="0" w:left="79" w:right="7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и дети-инвалиды, осваивающие основные общеобразовательные программы на дому или в медицинских организациях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3,458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4,775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1,798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2,196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2,483</w:t>
            </w:r>
          </w:p>
        </w:tc>
      </w:tr>
    </w:tbl>
    <w:p w14:paraId="07030000">
      <w:pPr>
        <w:spacing w:after="0"/>
        <w:ind/>
        <w:jc w:val="right"/>
        <w:rPr>
          <w:rFonts w:ascii="Times New Roman" w:hAnsi="Times New Roman"/>
          <w:sz w:val="20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160" w:line="264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spacing w:after="160" w:line="264" w:lineRule="auto"/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Endnote2"/>
    <w:link w:val="Style_8_ch"/>
    <w:pPr>
      <w:spacing w:after="160" w:line="264" w:lineRule="auto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2"/>
    <w:link w:val="Style_8"/>
    <w:rPr>
      <w:rFonts w:ascii="XO Thames" w:hAnsi="XO Thames"/>
      <w:sz w:val="22"/>
    </w:rPr>
  </w:style>
  <w:style w:styleId="Style_9" w:type="paragraph">
    <w:name w:val="toc 4"/>
    <w:next w:val="Style_6"/>
    <w:link w:val="Style_9_ch"/>
    <w:uiPriority w:val="39"/>
    <w:pPr>
      <w:spacing w:after="160" w:line="264" w:lineRule="auto"/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er"/>
    <w:basedOn w:val="Style_6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6_ch"/>
    <w:link w:val="Style_10"/>
  </w:style>
  <w:style w:styleId="Style_11" w:type="paragraph">
    <w:name w:val="heading 7"/>
    <w:basedOn w:val="Style_6"/>
    <w:next w:val="Style_6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1_ch" w:type="character">
    <w:name w:val="heading 7"/>
    <w:basedOn w:val="Style_6_ch"/>
    <w:link w:val="Style_11"/>
    <w:rPr>
      <w:rFonts w:ascii="Arial" w:hAnsi="Arial"/>
      <w:b w:val="1"/>
      <w:i w:val="1"/>
    </w:rPr>
  </w:style>
  <w:style w:styleId="Style_12" w:type="paragraph">
    <w:name w:val="Гиперссылка3"/>
    <w:link w:val="Style_12_ch"/>
    <w:rPr>
      <w:color w:val="0000FF"/>
      <w:u w:val="single"/>
    </w:rPr>
  </w:style>
  <w:style w:styleId="Style_12_ch" w:type="character">
    <w:name w:val="Гиперссылка3"/>
    <w:link w:val="Style_12"/>
    <w:rPr>
      <w:color w:val="0000FF"/>
      <w:u w:val="single"/>
    </w:rPr>
  </w:style>
  <w:style w:styleId="Style_13" w:type="paragraph">
    <w:name w:val="toc 6"/>
    <w:next w:val="Style_6"/>
    <w:link w:val="Style_13_ch"/>
    <w:uiPriority w:val="39"/>
    <w:pPr>
      <w:spacing w:after="160" w:line="264" w:lineRule="auto"/>
      <w:ind w:firstLine="0"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Heading 1 Char"/>
    <w:link w:val="Style_14_ch"/>
    <w:pPr>
      <w:spacing w:after="160" w:line="264" w:lineRule="auto"/>
      <w:ind/>
    </w:pPr>
    <w:rPr>
      <w:rFonts w:ascii="Arial" w:hAnsi="Arial"/>
      <w:sz w:val="40"/>
    </w:rPr>
  </w:style>
  <w:style w:styleId="Style_14_ch" w:type="character">
    <w:name w:val="Heading 1 Char"/>
    <w:link w:val="Style_14"/>
    <w:rPr>
      <w:rFonts w:ascii="Arial" w:hAnsi="Arial"/>
      <w:sz w:val="40"/>
    </w:rPr>
  </w:style>
  <w:style w:styleId="Style_15" w:type="paragraph">
    <w:name w:val="toc 7"/>
    <w:next w:val="Style_6"/>
    <w:link w:val="Style_15_ch"/>
    <w:uiPriority w:val="39"/>
    <w:pPr>
      <w:spacing w:after="160" w:line="264" w:lineRule="auto"/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Subtitle Char"/>
    <w:link w:val="Style_16_ch"/>
    <w:pPr>
      <w:spacing w:after="160" w:line="264" w:lineRule="auto"/>
      <w:ind/>
    </w:pPr>
    <w:rPr>
      <w:sz w:val="24"/>
    </w:rPr>
  </w:style>
  <w:style w:styleId="Style_16_ch" w:type="character">
    <w:name w:val="Subtitle Char"/>
    <w:link w:val="Style_16"/>
    <w:rPr>
      <w:sz w:val="24"/>
    </w:rPr>
  </w:style>
  <w:style w:styleId="Style_17" w:type="paragraph">
    <w:name w:val="Endnote"/>
    <w:basedOn w:val="Style_6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6_ch"/>
    <w:link w:val="Style_17"/>
    <w:rPr>
      <w:sz w:val="20"/>
    </w:rPr>
  </w:style>
  <w:style w:styleId="Style_18" w:type="paragraph">
    <w:name w:val="heading 3"/>
    <w:next w:val="Style_6"/>
    <w:link w:val="Style_18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footer"/>
    <w:basedOn w:val="Style_6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footer"/>
    <w:basedOn w:val="Style_6_ch"/>
    <w:link w:val="Style_19"/>
    <w:rPr>
      <w:rFonts w:ascii="Times New Roman" w:hAnsi="Times New Roman"/>
      <w:sz w:val="28"/>
    </w:rPr>
  </w:style>
  <w:style w:styleId="Style_20" w:type="paragraph">
    <w:name w:val="Обычный1"/>
    <w:link w:val="Style_20_ch"/>
    <w:pPr>
      <w:spacing w:after="160" w:line="264" w:lineRule="auto"/>
      <w:ind/>
    </w:pPr>
    <w:rPr>
      <w:sz w:val="22"/>
    </w:rPr>
  </w:style>
  <w:style w:styleId="Style_20_ch" w:type="character">
    <w:name w:val="Обычный1"/>
    <w:link w:val="Style_20"/>
    <w:rPr>
      <w:sz w:val="22"/>
    </w:rPr>
  </w:style>
  <w:style w:styleId="Style_21" w:type="paragraph">
    <w:name w:val="heading 9"/>
    <w:basedOn w:val="Style_6"/>
    <w:next w:val="Style_6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6_ch"/>
    <w:link w:val="Style_21"/>
    <w:rPr>
      <w:rFonts w:ascii="Arial" w:hAnsi="Arial"/>
      <w:i w:val="1"/>
      <w:sz w:val="21"/>
    </w:rPr>
  </w:style>
  <w:style w:styleId="Style_22" w:type="paragraph">
    <w:name w:val="Heading 3 Char"/>
    <w:link w:val="Style_22_ch"/>
    <w:pPr>
      <w:spacing w:after="160" w:line="264" w:lineRule="auto"/>
      <w:ind/>
    </w:pPr>
    <w:rPr>
      <w:rFonts w:ascii="Arial" w:hAnsi="Arial"/>
      <w:sz w:val="30"/>
    </w:rPr>
  </w:style>
  <w:style w:styleId="Style_22_ch" w:type="character">
    <w:name w:val="Heading 3 Char"/>
    <w:link w:val="Style_22"/>
    <w:rPr>
      <w:rFonts w:ascii="Arial" w:hAnsi="Arial"/>
      <w:sz w:val="30"/>
    </w:rPr>
  </w:style>
  <w:style w:styleId="Style_23" w:type="paragraph">
    <w:name w:val="Знак сноски1"/>
    <w:link w:val="Style_23_ch"/>
    <w:rPr>
      <w:vertAlign w:val="superscript"/>
    </w:rPr>
  </w:style>
  <w:style w:styleId="Style_23_ch" w:type="character">
    <w:name w:val="Знак сноски1"/>
    <w:link w:val="Style_23"/>
    <w:rPr>
      <w:vertAlign w:val="superscript"/>
    </w:rPr>
  </w:style>
  <w:style w:styleId="Style_24" w:type="paragraph">
    <w:name w:val="toc 3"/>
    <w:next w:val="Style_6"/>
    <w:link w:val="Style_24_ch"/>
    <w:uiPriority w:val="39"/>
    <w:pPr>
      <w:spacing w:after="160" w:line="264" w:lineRule="auto"/>
      <w:ind w:firstLine="0" w:left="400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Обычный12"/>
    <w:link w:val="Style_26_ch"/>
    <w:pPr>
      <w:spacing w:after="160" w:line="264" w:lineRule="auto"/>
      <w:ind/>
    </w:pPr>
    <w:rPr>
      <w:sz w:val="22"/>
    </w:rPr>
  </w:style>
  <w:style w:styleId="Style_26_ch" w:type="character">
    <w:name w:val="Обычный12"/>
    <w:link w:val="Style_26"/>
    <w:rPr>
      <w:sz w:val="22"/>
    </w:rPr>
  </w:style>
  <w:style w:styleId="Style_27" w:type="paragraph">
    <w:name w:val="Footer Char"/>
    <w:link w:val="Style_27_ch"/>
    <w:pPr>
      <w:spacing w:after="160" w:line="264" w:lineRule="auto"/>
      <w:ind/>
    </w:pPr>
    <w:rPr>
      <w:sz w:val="22"/>
    </w:rPr>
  </w:style>
  <w:style w:styleId="Style_27_ch" w:type="character">
    <w:name w:val="Footer Char"/>
    <w:link w:val="Style_27"/>
    <w:rPr>
      <w:sz w:val="22"/>
    </w:rPr>
  </w:style>
  <w:style w:styleId="Style_28" w:type="paragraph">
    <w:name w:val="Основной шрифт абзаца2"/>
    <w:link w:val="Style_28_ch"/>
    <w:pPr>
      <w:spacing w:after="160" w:line="264" w:lineRule="auto"/>
      <w:ind/>
    </w:pPr>
    <w:rPr>
      <w:sz w:val="22"/>
    </w:rPr>
  </w:style>
  <w:style w:styleId="Style_28_ch" w:type="character">
    <w:name w:val="Основной шрифт абзаца2"/>
    <w:link w:val="Style_28"/>
    <w:rPr>
      <w:sz w:val="22"/>
    </w:rPr>
  </w:style>
  <w:style w:styleId="Style_29" w:type="paragraph">
    <w:name w:val="Intense Quote"/>
    <w:basedOn w:val="Style_6"/>
    <w:next w:val="Style_6"/>
    <w:link w:val="Style_29_ch"/>
    <w:pPr>
      <w:ind w:firstLine="0" w:left="720" w:right="720"/>
    </w:pPr>
    <w:rPr>
      <w:i w:val="1"/>
    </w:rPr>
  </w:style>
  <w:style w:styleId="Style_29_ch" w:type="character">
    <w:name w:val="Intense Quote"/>
    <w:basedOn w:val="Style_6_ch"/>
    <w:link w:val="Style_29"/>
    <w:rPr>
      <w:i w:val="1"/>
    </w:rPr>
  </w:style>
  <w:style w:styleId="Style_30" w:type="paragraph">
    <w:name w:val="Основной шрифт абзаца1"/>
    <w:link w:val="Style_30_ch"/>
    <w:pPr>
      <w:spacing w:after="160" w:line="264" w:lineRule="auto"/>
      <w:ind/>
    </w:pPr>
    <w:rPr>
      <w:sz w:val="22"/>
    </w:rPr>
  </w:style>
  <w:style w:styleId="Style_30_ch" w:type="character">
    <w:name w:val="Основной шрифт абзаца1"/>
    <w:link w:val="Style_30"/>
    <w:rPr>
      <w:sz w:val="22"/>
    </w:rPr>
  </w:style>
  <w:style w:styleId="Style_31" w:type="paragraph">
    <w:name w:val="heading 5"/>
    <w:next w:val="Style_6"/>
    <w:link w:val="Style_31_ch"/>
    <w:uiPriority w:val="9"/>
    <w:qFormat/>
    <w:pPr>
      <w:spacing w:after="120" w:before="120" w:line="264" w:lineRule="auto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heading 1"/>
    <w:next w:val="Style_6"/>
    <w:link w:val="Style_32_ch"/>
    <w:uiPriority w:val="9"/>
    <w:qFormat/>
    <w:pPr>
      <w:spacing w:after="120" w:before="120" w:line="264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Footnote2"/>
    <w:link w:val="Style_33_ch"/>
    <w:pPr>
      <w:spacing w:after="160" w:line="264" w:lineRule="auto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2"/>
    <w:link w:val="Style_33"/>
    <w:rPr>
      <w:rFonts w:ascii="XO Thames" w:hAnsi="XO Thames"/>
      <w:sz w:val="22"/>
    </w:rPr>
  </w:style>
  <w:style w:styleId="Style_34" w:type="paragraph">
    <w:name w:val="caption"/>
    <w:basedOn w:val="Style_6"/>
    <w:next w:val="Style_6"/>
    <w:link w:val="Style_34_ch"/>
    <w:pPr>
      <w:spacing w:line="276" w:lineRule="auto"/>
      <w:ind/>
    </w:pPr>
    <w:rPr>
      <w:b w:val="1"/>
      <w:color w:themeColor="accent1" w:val="5B9BD5"/>
      <w:sz w:val="18"/>
    </w:rPr>
  </w:style>
  <w:style w:styleId="Style_34_ch" w:type="character">
    <w:name w:val="caption"/>
    <w:basedOn w:val="Style_6_ch"/>
    <w:link w:val="Style_34"/>
    <w:rPr>
      <w:b w:val="1"/>
      <w:color w:themeColor="accent1" w:val="5B9BD5"/>
      <w:sz w:val="18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6"/>
    <w:link w:val="Style_36_ch"/>
    <w:pPr>
      <w:spacing w:after="40" w:line="240" w:lineRule="auto"/>
      <w:ind/>
    </w:pPr>
    <w:rPr>
      <w:sz w:val="18"/>
    </w:rPr>
  </w:style>
  <w:style w:styleId="Style_36_ch" w:type="character">
    <w:name w:val="Footnote"/>
    <w:basedOn w:val="Style_6_ch"/>
    <w:link w:val="Style_36"/>
    <w:rPr>
      <w:sz w:val="18"/>
    </w:rPr>
  </w:style>
  <w:style w:styleId="Style_37" w:type="paragraph">
    <w:name w:val="heading 8"/>
    <w:basedOn w:val="Style_6"/>
    <w:next w:val="Style_6"/>
    <w:link w:val="Style_37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37_ch" w:type="character">
    <w:name w:val="heading 8"/>
    <w:basedOn w:val="Style_6_ch"/>
    <w:link w:val="Style_37"/>
    <w:rPr>
      <w:rFonts w:ascii="Arial" w:hAnsi="Arial"/>
      <w:i w:val="1"/>
    </w:rPr>
  </w:style>
  <w:style w:styleId="Style_38" w:type="paragraph">
    <w:name w:val="Heading 2 Char"/>
    <w:link w:val="Style_38_ch"/>
    <w:pPr>
      <w:spacing w:after="160" w:line="264" w:lineRule="auto"/>
      <w:ind/>
    </w:pPr>
    <w:rPr>
      <w:rFonts w:ascii="Arial" w:hAnsi="Arial"/>
      <w:sz w:val="34"/>
    </w:rPr>
  </w:style>
  <w:style w:styleId="Style_38_ch" w:type="character">
    <w:name w:val="Heading 2 Char"/>
    <w:link w:val="Style_38"/>
    <w:rPr>
      <w:rFonts w:ascii="Arial" w:hAnsi="Arial"/>
      <w:sz w:val="34"/>
    </w:rPr>
  </w:style>
  <w:style w:styleId="Style_39" w:type="paragraph">
    <w:name w:val="toc 1"/>
    <w:next w:val="Style_6"/>
    <w:link w:val="Style_39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after="160"/>
      <w:ind/>
      <w:jc w:val="both"/>
    </w:pPr>
    <w:rPr>
      <w:rFonts w:ascii="XO Thames" w:hAnsi="XO Thames"/>
    </w:rPr>
  </w:style>
  <w:style w:styleId="Style_1_ch" w:type="character">
    <w:name w:val="Header and Footer"/>
    <w:link w:val="Style_1"/>
    <w:rPr>
      <w:rFonts w:ascii="XO Thames" w:hAnsi="XO Thames"/>
    </w:rPr>
  </w:style>
  <w:style w:styleId="Style_40" w:type="paragraph">
    <w:name w:val="Гиперссылка1"/>
    <w:basedOn w:val="Style_30"/>
    <w:link w:val="Style_40_ch"/>
    <w:rPr>
      <w:color w:themeColor="hyperlink" w:val="0563C1"/>
      <w:u w:val="single"/>
    </w:rPr>
  </w:style>
  <w:style w:styleId="Style_40_ch" w:type="character">
    <w:name w:val="Гиперссылка1"/>
    <w:basedOn w:val="Style_30_ch"/>
    <w:link w:val="Style_40"/>
    <w:rPr>
      <w:color w:themeColor="hyperlink" w:val="0563C1"/>
      <w:u w:val="single"/>
    </w:rPr>
  </w:style>
  <w:style w:styleId="Style_41" w:type="paragraph">
    <w:name w:val="Обычный1"/>
    <w:link w:val="Style_41_ch"/>
    <w:rPr>
      <w:rFonts w:asciiTheme="minorAscii" w:hAnsiTheme="minorHAnsi"/>
      <w:color w:val="000000"/>
      <w:spacing w:val="0"/>
      <w:sz w:val="22"/>
    </w:rPr>
  </w:style>
  <w:style w:styleId="Style_41_ch" w:type="character">
    <w:name w:val="Обычный1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Знак концевой сноски1"/>
    <w:link w:val="Style_42_ch"/>
    <w:rPr>
      <w:vertAlign w:val="superscript"/>
    </w:rPr>
  </w:style>
  <w:style w:styleId="Style_42_ch" w:type="character">
    <w:name w:val="Знак концевой сноски1"/>
    <w:link w:val="Style_42"/>
    <w:rPr>
      <w:vertAlign w:val="superscript"/>
    </w:rPr>
  </w:style>
  <w:style w:styleId="Style_43" w:type="paragraph">
    <w:name w:val="toc 9"/>
    <w:next w:val="Style_6"/>
    <w:link w:val="Style_43_ch"/>
    <w:uiPriority w:val="39"/>
    <w:pPr>
      <w:spacing w:after="160" w:line="264" w:lineRule="auto"/>
      <w:ind w:firstLine="0" w:left="1600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Heading 4 Char"/>
    <w:link w:val="Style_44_ch"/>
    <w:pPr>
      <w:spacing w:after="160" w:line="264" w:lineRule="auto"/>
      <w:ind/>
    </w:pPr>
    <w:rPr>
      <w:rFonts w:ascii="Arial" w:hAnsi="Arial"/>
      <w:b w:val="1"/>
      <w:sz w:val="26"/>
    </w:rPr>
  </w:style>
  <w:style w:styleId="Style_44_ch" w:type="character">
    <w:name w:val="Heading 4 Char"/>
    <w:link w:val="Style_44"/>
    <w:rPr>
      <w:rFonts w:ascii="Arial" w:hAnsi="Arial"/>
      <w:b w:val="1"/>
      <w:sz w:val="26"/>
    </w:rPr>
  </w:style>
  <w:style w:styleId="Style_45" w:type="paragraph">
    <w:name w:val="toc 8"/>
    <w:next w:val="Style_6"/>
    <w:link w:val="Style_45_ch"/>
    <w:uiPriority w:val="39"/>
    <w:pPr>
      <w:spacing w:after="160" w:line="264" w:lineRule="auto"/>
      <w:ind w:firstLine="0" w:left="1400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Header Char"/>
    <w:link w:val="Style_46_ch"/>
    <w:pPr>
      <w:spacing w:after="160" w:line="264" w:lineRule="auto"/>
      <w:ind/>
    </w:pPr>
    <w:rPr>
      <w:sz w:val="22"/>
    </w:rPr>
  </w:style>
  <w:style w:styleId="Style_46_ch" w:type="character">
    <w:name w:val="Header Char"/>
    <w:link w:val="Style_46"/>
    <w:rPr>
      <w:sz w:val="22"/>
    </w:rPr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Title Char"/>
    <w:link w:val="Style_48_ch"/>
    <w:pPr>
      <w:spacing w:after="160" w:line="264" w:lineRule="auto"/>
      <w:ind/>
    </w:pPr>
    <w:rPr>
      <w:sz w:val="48"/>
    </w:rPr>
  </w:style>
  <w:style w:styleId="Style_48_ch" w:type="character">
    <w:name w:val="Title Char"/>
    <w:link w:val="Style_48"/>
    <w:rPr>
      <w:sz w:val="48"/>
    </w:rPr>
  </w:style>
  <w:style w:styleId="Style_5" w:type="paragraph">
    <w:name w:val="ConsPlu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49" w:type="paragraph">
    <w:name w:val="toc 5"/>
    <w:next w:val="Style_6"/>
    <w:link w:val="Style_49_ch"/>
    <w:uiPriority w:val="39"/>
    <w:pPr>
      <w:spacing w:after="160" w:line="264" w:lineRule="auto"/>
      <w:ind w:firstLine="0" w:left="800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Plain Text"/>
    <w:basedOn w:val="Style_6"/>
    <w:link w:val="Style_50_ch"/>
    <w:pPr>
      <w:spacing w:after="0" w:line="240" w:lineRule="auto"/>
      <w:ind/>
    </w:pPr>
    <w:rPr>
      <w:rFonts w:ascii="Calibri" w:hAnsi="Calibri"/>
    </w:rPr>
  </w:style>
  <w:style w:styleId="Style_50_ch" w:type="character">
    <w:name w:val="Plain Text"/>
    <w:basedOn w:val="Style_6_ch"/>
    <w:link w:val="Style_50"/>
    <w:rPr>
      <w:rFonts w:ascii="Calibri" w:hAnsi="Calibri"/>
    </w:rPr>
  </w:style>
  <w:style w:styleId="Style_51" w:type="paragraph">
    <w:name w:val="List Paragraph"/>
    <w:basedOn w:val="Style_6"/>
    <w:link w:val="Style_51_ch"/>
    <w:pPr>
      <w:ind w:firstLine="0" w:left="720"/>
      <w:contextualSpacing w:val="1"/>
    </w:pPr>
  </w:style>
  <w:style w:styleId="Style_51_ch" w:type="character">
    <w:name w:val="List Paragraph"/>
    <w:basedOn w:val="Style_6_ch"/>
    <w:link w:val="Style_51"/>
  </w:style>
  <w:style w:styleId="Style_52" w:type="paragraph">
    <w:name w:val="Гиперссылка2"/>
    <w:link w:val="Style_52_ch"/>
    <w:pPr>
      <w:spacing w:after="160" w:line="264" w:lineRule="auto"/>
      <w:ind/>
    </w:pPr>
    <w:rPr>
      <w:color w:val="0000FF"/>
      <w:sz w:val="22"/>
      <w:u w:val="single"/>
    </w:rPr>
  </w:style>
  <w:style w:styleId="Style_52_ch" w:type="character">
    <w:name w:val="Гиперссылка2"/>
    <w:link w:val="Style_52"/>
    <w:rPr>
      <w:color w:val="0000FF"/>
      <w:sz w:val="22"/>
      <w:u w:val="single"/>
    </w:rPr>
  </w:style>
  <w:style w:styleId="Style_53" w:type="paragraph">
    <w:name w:val="Quote"/>
    <w:basedOn w:val="Style_6"/>
    <w:next w:val="Style_6"/>
    <w:link w:val="Style_53_ch"/>
    <w:pPr>
      <w:ind w:firstLine="0" w:left="720" w:right="720"/>
    </w:pPr>
    <w:rPr>
      <w:i w:val="1"/>
    </w:rPr>
  </w:style>
  <w:style w:styleId="Style_53_ch" w:type="character">
    <w:name w:val="Quote"/>
    <w:basedOn w:val="Style_6_ch"/>
    <w:link w:val="Style_53"/>
    <w:rPr>
      <w:i w:val="1"/>
    </w:rPr>
  </w:style>
  <w:style w:styleId="Style_54" w:type="paragraph">
    <w:name w:val="Balloon Text"/>
    <w:basedOn w:val="Style_6"/>
    <w:link w:val="Style_54_ch"/>
    <w:pPr>
      <w:spacing w:after="0" w:line="240" w:lineRule="auto"/>
      <w:ind/>
    </w:pPr>
    <w:rPr>
      <w:rFonts w:ascii="Segoe UI" w:hAnsi="Segoe UI"/>
      <w:sz w:val="18"/>
    </w:rPr>
  </w:style>
  <w:style w:styleId="Style_54_ch" w:type="character">
    <w:name w:val="Balloon Text"/>
    <w:basedOn w:val="Style_6_ch"/>
    <w:link w:val="Style_54"/>
    <w:rPr>
      <w:rFonts w:ascii="Segoe UI" w:hAnsi="Segoe UI"/>
      <w:sz w:val="18"/>
    </w:rPr>
  </w:style>
  <w:style w:styleId="Style_55" w:type="paragraph">
    <w:name w:val="Subtitle"/>
    <w:next w:val="Style_6"/>
    <w:link w:val="Style_55_ch"/>
    <w:uiPriority w:val="11"/>
    <w:qFormat/>
    <w:pPr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Heading 5 Char"/>
    <w:link w:val="Style_56_ch"/>
    <w:pPr>
      <w:spacing w:after="160" w:line="264" w:lineRule="auto"/>
      <w:ind/>
    </w:pPr>
    <w:rPr>
      <w:rFonts w:ascii="Arial" w:hAnsi="Arial"/>
      <w:b w:val="1"/>
      <w:sz w:val="24"/>
    </w:rPr>
  </w:style>
  <w:style w:styleId="Style_56_ch" w:type="character">
    <w:name w:val="Heading 5 Char"/>
    <w:link w:val="Style_56"/>
    <w:rPr>
      <w:rFonts w:ascii="Arial" w:hAnsi="Arial"/>
      <w:b w:val="1"/>
      <w:sz w:val="24"/>
    </w:rPr>
  </w:style>
  <w:style w:styleId="Style_57" w:type="paragraph">
    <w:name w:val="Caption Char"/>
    <w:basedOn w:val="Style_34"/>
    <w:link w:val="Style_57_ch"/>
  </w:style>
  <w:style w:styleId="Style_57_ch" w:type="character">
    <w:name w:val="Caption Char"/>
    <w:basedOn w:val="Style_34_ch"/>
    <w:link w:val="Style_57"/>
  </w:style>
  <w:style w:styleId="Style_58" w:type="paragraph">
    <w:name w:val="No Spacing"/>
    <w:link w:val="Style_58_ch"/>
    <w:rPr>
      <w:sz w:val="22"/>
    </w:rPr>
  </w:style>
  <w:style w:styleId="Style_58_ch" w:type="character">
    <w:name w:val="No Spacing"/>
    <w:link w:val="Style_58"/>
    <w:rPr>
      <w:sz w:val="22"/>
    </w:rPr>
  </w:style>
  <w:style w:styleId="Style_59" w:type="paragraph">
    <w:name w:val="Title"/>
    <w:next w:val="Style_6"/>
    <w:link w:val="Style_59_ch"/>
    <w:uiPriority w:val="10"/>
    <w:qFormat/>
    <w:pPr>
      <w:spacing w:after="567" w:before="567" w:line="264" w:lineRule="auto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next w:val="Style_6"/>
    <w:link w:val="Style_60_ch"/>
    <w:uiPriority w:val="9"/>
    <w:qFormat/>
    <w:pPr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60_ch" w:type="character">
    <w:name w:val="heading 4"/>
    <w:link w:val="Style_60"/>
    <w:rPr>
      <w:rFonts w:ascii="XO Thames" w:hAnsi="XO Thames"/>
      <w:b w:val="1"/>
      <w:sz w:val="24"/>
    </w:rPr>
  </w:style>
  <w:style w:styleId="Style_61" w:type="paragraph">
    <w:name w:val="TOC Heading"/>
    <w:link w:val="Style_61_ch"/>
    <w:pPr>
      <w:spacing w:after="160" w:line="264" w:lineRule="auto"/>
      <w:ind/>
    </w:pPr>
    <w:rPr>
      <w:sz w:val="22"/>
    </w:rPr>
  </w:style>
  <w:style w:styleId="Style_61_ch" w:type="character">
    <w:name w:val="TOC Heading"/>
    <w:link w:val="Style_61"/>
    <w:rPr>
      <w:sz w:val="22"/>
    </w:rPr>
  </w:style>
  <w:style w:styleId="Style_62" w:type="paragraph">
    <w:name w:val="table of figures"/>
    <w:basedOn w:val="Style_6"/>
    <w:next w:val="Style_6"/>
    <w:link w:val="Style_62_ch"/>
    <w:pPr>
      <w:spacing w:after="0"/>
      <w:ind/>
    </w:pPr>
  </w:style>
  <w:style w:styleId="Style_62_ch" w:type="character">
    <w:name w:val="table of figures"/>
    <w:basedOn w:val="Style_6_ch"/>
    <w:link w:val="Style_62"/>
  </w:style>
  <w:style w:styleId="Style_63" w:type="paragraph">
    <w:name w:val="heading 2"/>
    <w:next w:val="Style_6"/>
    <w:link w:val="Style_63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styleId="Style_4" w:type="paragraph">
    <w:name w:val="ConsPlusTitle"/>
    <w:link w:val="Style_4_ch"/>
    <w:pPr>
      <w:widowControl w:val="0"/>
      <w:ind/>
    </w:pPr>
    <w:rPr>
      <w:rFonts w:ascii="Arial" w:hAnsi="Arial"/>
      <w:b w:val="1"/>
    </w:rPr>
  </w:style>
  <w:style w:styleId="Style_4_ch" w:type="character">
    <w:name w:val="ConsPlusTitle"/>
    <w:link w:val="Style_4"/>
    <w:rPr>
      <w:rFonts w:ascii="Arial" w:hAnsi="Arial"/>
      <w:b w:val="1"/>
    </w:rPr>
  </w:style>
  <w:style w:styleId="Style_64" w:type="paragraph">
    <w:name w:val="heading 6"/>
    <w:basedOn w:val="Style_6"/>
    <w:next w:val="Style_6"/>
    <w:link w:val="Style_64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64_ch" w:type="character">
    <w:name w:val="heading 6"/>
    <w:basedOn w:val="Style_6_ch"/>
    <w:link w:val="Style_64"/>
    <w:rPr>
      <w:rFonts w:ascii="Arial" w:hAnsi="Arial"/>
      <w:b w:val="1"/>
    </w:rPr>
  </w:style>
  <w:style w:styleId="Style_65" w:type="table">
    <w:name w:val="Bordered &amp; Lined - Accent 6"/>
    <w:basedOn w:val="Style_2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6" w:type="table">
    <w:name w:val="Plain Table 1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7" w:type="table">
    <w:name w:val="List Table 2 - Accent 6"/>
    <w:basedOn w:val="Style_2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8" w:type="table">
    <w:name w:val="Grid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9" w:type="table">
    <w:name w:val="Grid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0" w:type="table">
    <w:name w:val="List Table 6 Colorful - Accent 1"/>
    <w:basedOn w:val="Style_2"/>
    <w:tblPr>
      <w:tblBorders>
        <w:top w:sz="4" w:themeColor="accent1" w:val="single"/>
        <w:bottom w:sz="4" w:themeColor="accent1" w:val="single"/>
      </w:tblBorders>
    </w:tblPr>
  </w:style>
  <w:style w:styleId="Style_71" w:type="table">
    <w:name w:val="Lined - Accent 1"/>
    <w:basedOn w:val="Style_2"/>
    <w:rPr>
      <w:color w:val="404040"/>
    </w:rPr>
  </w:style>
  <w:style w:styleId="Style_72" w:type="table">
    <w:name w:val="List Table 5 Dark - Accent 2"/>
    <w:basedOn w:val="Style_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3" w:type="table">
    <w:name w:val="List Table 3 - Accent 3"/>
    <w:basedOn w:val="Style_2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4" w:type="table">
    <w:name w:val="Grid Table 5 Dark- Accent 1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7 Colorful - Accent 1"/>
    <w:basedOn w:val="Style_2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6" w:type="table">
    <w:name w:val="Bordered &amp; Lined - Accent 4"/>
    <w:basedOn w:val="Style_2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7" w:type="table">
    <w:name w:val="List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8" w:type="table">
    <w:name w:val="Grid Table 1 Light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9" w:type="table">
    <w:name w:val="Grid Table 5 Dark - Accent 3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6 Colorful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List Table 7 Colorful - Accent 3"/>
    <w:basedOn w:val="Style_2"/>
    <w:tblPr>
      <w:tblBorders>
        <w:right w:sz="4" w:themeColor="accent3" w:themeTint="98" w:val="single"/>
      </w:tblBorders>
    </w:tblPr>
  </w:style>
  <w:style w:styleId="Style_82" w:type="table">
    <w:name w:val="List Table 6 Colorful - Accent 4"/>
    <w:basedOn w:val="Style_2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3" w:type="table">
    <w:name w:val="Grid Table 3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4" w:type="table">
    <w:name w:val="Grid Table 3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st Table 7 Colorful"/>
    <w:basedOn w:val="Style_2"/>
    <w:tblPr>
      <w:tblBorders>
        <w:right w:sz="4" w:themeColor="text1" w:themeTint="80" w:val="single"/>
      </w:tblBorders>
    </w:tblPr>
  </w:style>
  <w:style w:styleId="Style_86" w:type="table">
    <w:name w:val="List Table 3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7" w:type="table">
    <w:name w:val="Grid Table 2"/>
    <w:basedOn w:val="Style_2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8" w:type="table">
    <w:name w:val="List Table 1 Light - Accent 5"/>
    <w:basedOn w:val="Style_2"/>
  </w:style>
  <w:style w:styleId="Style_89" w:type="table">
    <w:name w:val="Plain Table 2"/>
    <w:basedOn w:val="Style_2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90" w:type="table">
    <w:name w:val="Plain Table 5"/>
    <w:basedOn w:val="Style_2"/>
  </w:style>
  <w:style w:styleId="Style_91" w:type="table">
    <w:name w:val="List Table 5 Dark - Accent 6"/>
    <w:basedOn w:val="Style_2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2" w:type="table">
    <w:name w:val="Grid Table 7 Colorful - Accent 2"/>
    <w:basedOn w:val="Style_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Grid Table 6 Colorful - Accent 6"/>
    <w:basedOn w:val="Style_2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List Table 5 Dark - Accent 5"/>
    <w:basedOn w:val="Style_2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5" w:type="table">
    <w:name w:val="Grid Table 7 Colorful - Accent 6"/>
    <w:basedOn w:val="Style_2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6" w:type="table">
    <w:name w:val="Grid Table 4"/>
    <w:basedOn w:val="Style_2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7" w:type="table">
    <w:name w:val="Grid Table 3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Table Grid Light"/>
    <w:basedOn w:val="Style_2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9" w:type="table">
    <w:name w:val="List Table 1 Light"/>
    <w:basedOn w:val="Style_2"/>
  </w:style>
  <w:style w:styleId="Style_100" w:type="table">
    <w:name w:val="Grid Table 3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Grid Table 4 - Accent 3"/>
    <w:basedOn w:val="Style_2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2" w:type="table">
    <w:name w:val="Grid Table 5 Dark- Accent 4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Grid Table 2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Grid Table 7 Colorful - Accent 3"/>
    <w:basedOn w:val="Style_2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List Table 2 - Accent 4"/>
    <w:basedOn w:val="Style_2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6" w:type="table">
    <w:name w:val="List Table 3 - Accent 2"/>
    <w:basedOn w:val="Style_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7" w:type="table">
    <w:name w:val="Grid Table 6 Colorful - Accent 1"/>
    <w:basedOn w:val="Style_2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8" w:type="table">
    <w:name w:val="Сетка таблицы2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9" w:type="table">
    <w:name w:val="Grid Table 3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0" w:type="table">
    <w:name w:val="Plain Table 3"/>
    <w:basedOn w:val="Style_2"/>
  </w:style>
  <w:style w:styleId="Style_111" w:type="table">
    <w:name w:val="Grid Table 7 Colorful - Accent 5"/>
    <w:basedOn w:val="Style_2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Grid Table 5 Dark - Accent 6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List Table 7 Colorful - Accent 1"/>
    <w:basedOn w:val="Style_2"/>
    <w:tblPr>
      <w:tblBorders>
        <w:right w:sz="4" w:themeColor="accent1" w:val="single"/>
      </w:tblBorders>
    </w:tblPr>
  </w:style>
  <w:style w:styleId="Style_114" w:type="table">
    <w:name w:val="List Table 2"/>
    <w:basedOn w:val="Style_2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5" w:type="table">
    <w:name w:val="Bordered"/>
    <w:basedOn w:val="Style_2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List Table 6 Colorful"/>
    <w:basedOn w:val="Style_2"/>
    <w:tblPr>
      <w:tblBorders>
        <w:top w:sz="4" w:themeColor="text1" w:themeTint="80" w:val="single"/>
        <w:bottom w:sz="4" w:themeColor="text1" w:themeTint="80" w:val="single"/>
      </w:tblBorders>
    </w:tblPr>
  </w:style>
  <w:style w:styleId="Style_117" w:type="table">
    <w:name w:val="List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8" w:type="table">
    <w:name w:val="Bordered - Accent 5"/>
    <w:basedOn w:val="Style_2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Grid Table 2 - Accent 1"/>
    <w:basedOn w:val="Style_2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List Table 6 Colorful - Accent 5"/>
    <w:basedOn w:val="Style_2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1" w:type="table">
    <w:name w:val="Bordered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2" w:type="table">
    <w:name w:val="Grid Table 1 Light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3" w:type="table">
    <w:name w:val="Grid Table 3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Grid Table 7 Colorful"/>
    <w:basedOn w:val="Style_2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List Table 5 Dark - Accent 1"/>
    <w:basedOn w:val="Style_2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6" w:type="table">
    <w:name w:val="List Table 2 - Accent 5"/>
    <w:basedOn w:val="Style_2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7" w:type="table">
    <w:name w:val="List Table 1 Light - Accent 1"/>
    <w:basedOn w:val="Style_2"/>
  </w:style>
  <w:style w:styleId="Style_128" w:type="table">
    <w:name w:val="List Table 7 Colorful - Accent 5"/>
    <w:basedOn w:val="Style_2"/>
    <w:tblPr>
      <w:tblBorders>
        <w:right w:sz="4" w:themeColor="accent5" w:themeTint="9A" w:val="single"/>
      </w:tblBorders>
    </w:tblPr>
  </w:style>
  <w:style w:styleId="Style_129" w:type="table">
    <w:name w:val="List Table 2 - Accent 3"/>
    <w:basedOn w:val="Style_2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0" w:type="table">
    <w:name w:val="List Table 4 - Accent 2"/>
    <w:basedOn w:val="Style_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1" w:type="table">
    <w:name w:val="Grid Table 5 Dark - Accent 5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Bordered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3" w:type="table">
    <w:name w:val="Grid Table 5 Dark - Accent 2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Plain Table 4"/>
    <w:basedOn w:val="Style_2"/>
  </w:style>
  <w:style w:styleId="Style_135" w:type="table">
    <w:name w:val="Grid Table 3 - Accent 6"/>
    <w:basedOn w:val="Style_2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List Table 6 Colorful - Accent 2"/>
    <w:basedOn w:val="Style_2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7" w:type="table">
    <w:name w:val="Grid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8" w:type="table">
    <w:name w:val="Lined - Accent 3"/>
    <w:basedOn w:val="Style_2"/>
    <w:rPr>
      <w:color w:val="404040"/>
    </w:rPr>
  </w:style>
  <w:style w:styleId="Style_139" w:type="table">
    <w:name w:val="Bordered - Accent 6"/>
    <w:basedOn w:val="Style_2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0" w:type="table">
    <w:name w:val="List Table 7 Colorful - Accent 2"/>
    <w:basedOn w:val="Style_2"/>
    <w:tblPr>
      <w:tblBorders>
        <w:right w:sz="4" w:themeColor="accent2" w:themeTint="97" w:val="single"/>
      </w:tblBorders>
    </w:tblPr>
  </w:style>
  <w:style w:styleId="Style_141" w:type="table">
    <w:name w:val="List Table 3 - Accent 6"/>
    <w:basedOn w:val="Style_2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2" w:type="table">
    <w:name w:val="Bordered &amp; Lined - Accent 5"/>
    <w:basedOn w:val="Style_2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3" w:type="table">
    <w:name w:val="Grid Table 1 Light - Accent 1"/>
    <w:basedOn w:val="Style_2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4" w:type="table">
    <w:name w:val="List Table 1 Light - Accent 4"/>
    <w:basedOn w:val="Style_2"/>
  </w:style>
  <w:style w:styleId="Style_145" w:type="table">
    <w:name w:val="List Table 2 - Accent 2"/>
    <w:basedOn w:val="Style_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6" w:type="table">
    <w:name w:val="Grid Table 1 Light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7" w:type="table">
    <w:name w:val="Grid Table 6 Colorful - Accent 5"/>
    <w:basedOn w:val="Style_2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8" w:type="table">
    <w:name w:val="List Table 4 - Accent 1"/>
    <w:basedOn w:val="Style_2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9" w:type="table">
    <w:name w:val="Bordered &amp; Lined - Accent 2"/>
    <w:basedOn w:val="Style_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0" w:type="table">
    <w:name w:val="Lined - Accent 4"/>
    <w:basedOn w:val="Style_2"/>
    <w:rPr>
      <w:color w:val="404040"/>
    </w:rPr>
  </w:style>
  <w:style w:styleId="Style_151" w:type="table">
    <w:name w:val="Bordered - Accent 3"/>
    <w:basedOn w:val="Style_2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2" w:type="table">
    <w:name w:val="Bordered &amp; Lined - Accent 3"/>
    <w:basedOn w:val="Style_2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3" w:type="table">
    <w:name w:val="List Table 5 Dark - Accent 3"/>
    <w:basedOn w:val="Style_2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4" w:type="table">
    <w:name w:val="List Table 1 Light - Accent 2"/>
    <w:basedOn w:val="Style_2"/>
  </w:style>
  <w:style w:styleId="Style_155" w:type="table">
    <w:name w:val="Grid Table 1 Light"/>
    <w:basedOn w:val="Style_2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6" w:type="table">
    <w:name w:val="Grid Table 6 Colorful - Accent 4"/>
    <w:basedOn w:val="Style_2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Lined - Accent"/>
    <w:basedOn w:val="Style_2"/>
    <w:rPr>
      <w:color w:val="404040"/>
    </w:rPr>
  </w:style>
  <w:style w:styleId="Style_158" w:type="table">
    <w:name w:val="Grid Table 6 Colorful"/>
    <w:basedOn w:val="Style_2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9" w:type="table">
    <w:name w:val="Сетка таблицы1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0" w:type="table">
    <w:name w:val="Grid Table 1 Light - Accent 2"/>
    <w:basedOn w:val="Style_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List Table 2 - Accent 1"/>
    <w:basedOn w:val="Style_2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2" w:type="table">
    <w:name w:val="Grid Table 4 - Accent 6"/>
    <w:basedOn w:val="Style_2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3" w:type="table">
    <w:name w:val="Grid Table 2 - Accent 4"/>
    <w:basedOn w:val="Style_2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4" w:type="table">
    <w:name w:val="Grid Table 1 Light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Bordered &amp; Lined - Accent 1"/>
    <w:basedOn w:val="Style_2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6" w:type="table">
    <w:name w:val="List Table 6 Colorful - Accent 6"/>
    <w:basedOn w:val="Style_2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7" w:type="table">
    <w:name w:val="List Table 5 Dark - Accent 4"/>
    <w:basedOn w:val="Style_2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8" w:type="table">
    <w:name w:val="List Table 3 - Accent 1"/>
    <w:basedOn w:val="Style_2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9" w:type="table">
    <w:name w:val="List Table 7 Colorful - Accent 6"/>
    <w:basedOn w:val="Style_2"/>
    <w:tblPr>
      <w:tblBorders>
        <w:right w:sz="4" w:themeColor="accent6" w:themeTint="98" w:val="single"/>
      </w:tblBorders>
    </w:tblPr>
  </w:style>
  <w:style w:styleId="Style_170" w:type="table">
    <w:name w:val="List Table 3 - Accent 5"/>
    <w:basedOn w:val="Style_2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1" w:type="table">
    <w:name w:val="List Table 5 Dark"/>
    <w:basedOn w:val="Style_2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2" w:type="table">
    <w:name w:val="List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3" w:type="table">
    <w:name w:val="List Table 4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4" w:type="table">
    <w:name w:val="List Table 4 - Accent 4"/>
    <w:basedOn w:val="Style_2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5" w:type="table">
    <w:name w:val="Grid Table 5 Dark"/>
    <w:basedOn w:val="Style_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List Table 3"/>
    <w:basedOn w:val="Style_2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7" w:type="table">
    <w:name w:val="Grid Table 7 Colorful - Accent 4"/>
    <w:basedOn w:val="Style_2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List Table 7 Colorful - Accent 4"/>
    <w:basedOn w:val="Style_2"/>
    <w:tblPr>
      <w:tblBorders>
        <w:right w:sz="4" w:themeColor="accent4" w:themeTint="9A" w:val="single"/>
      </w:tblBorders>
    </w:tblPr>
  </w:style>
  <w:style w:styleId="Style_179" w:type="table">
    <w:name w:val="Lined - Accent 2"/>
    <w:basedOn w:val="Style_2"/>
    <w:rPr>
      <w:color w:val="404040"/>
    </w:rPr>
  </w:style>
  <w:style w:styleId="Style_180" w:type="table">
    <w:name w:val="List Table 6 Colorful - Accent 3"/>
    <w:basedOn w:val="Style_2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1" w:type="table">
    <w:name w:val="Grid Table 6 Colorful - Accent 3"/>
    <w:basedOn w:val="Style_2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Bordered - Accent 4"/>
    <w:basedOn w:val="Style_2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Lined - Accent 6"/>
    <w:basedOn w:val="Style_2"/>
    <w:rPr>
      <w:color w:val="404040"/>
    </w:rPr>
  </w:style>
  <w:style w:styleId="Style_184" w:type="table">
    <w:name w:val="Grid Table 2 - Accent 3"/>
    <w:basedOn w:val="Style_2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5" w:type="table">
    <w:name w:val="Grid Table 4 - Accent 5"/>
    <w:basedOn w:val="Style_2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6" w:type="table">
    <w:name w:val="Grid Table 2 - Accent 2"/>
    <w:basedOn w:val="Style_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7" w:type="table">
    <w:name w:val="Grid Table 2 - Accent 5"/>
    <w:basedOn w:val="Style_2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List Table 1 Light - Accent 3"/>
    <w:basedOn w:val="Style_2"/>
  </w:style>
  <w:style w:styleId="Style_189" w:type="table">
    <w:name w:val="List Table 1 Light - Accent 6"/>
    <w:basedOn w:val="Style_2"/>
  </w:style>
  <w:style w:styleId="Style_190" w:type="table">
    <w:name w:val="Lined - Accent 5"/>
    <w:basedOn w:val="Style_2"/>
    <w:rPr>
      <w:color w:val="404040"/>
    </w:rPr>
  </w:style>
  <w:style w:styleId="Style_191" w:type="table">
    <w:name w:val="Bordered &amp; Lined - Accent"/>
    <w:basedOn w:val="Style_2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2025-12-12T04:11:25Z</dcterms:modified>
</cp:coreProperties>
</file>