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1256" cy="635000"/>
                <wp:effectExtent l="0" t="0" r="0" b="0"/>
                <wp:docPr id="1" name="Drawing 2" descr="герб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11256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26pt;height:50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Start w:id="0" w:name="_GoBack"/>
      <w:r/>
      <w:bookmarkEnd w:id="0"/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МИНИСТЕРСТВО ИМУЩЕСТВЕННЫХ И ЗЕМЕЛЬНЫХ ОТНОШЕНИЙ КАМЧАТСКОГО КРАЯ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851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Петропавловск-Камчатский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имущественных и земельных отношений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Земельным кодексом Российской Федерации, Федеральным законом от 25.10.2001 </w:t>
      </w:r>
      <w:r>
        <w:rPr>
          <w:sz w:val="28"/>
          <w:szCs w:val="28"/>
          <w:lang w:val="en-US"/>
        </w:rPr>
        <w:t xml:space="preserve">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21.12.2004 № 172-ФЗ «О переводе земель или зе</w:t>
      </w:r>
      <w:r>
        <w:rPr>
          <w:sz w:val="28"/>
          <w:szCs w:val="28"/>
          <w:lang w:val="en-US"/>
        </w:rPr>
        <w:t xml:space="preserve">мельных участков из одной категории в другую», постановлением Правительства Камчатского края от 17.01.2014 № 27-П «Об установлении содержания ходатайства о переводе земель сельскохозяйственного назначения или земельных участков в составе таких земель, за и</w:t>
      </w:r>
      <w:r>
        <w:rPr>
          <w:sz w:val="28"/>
          <w:szCs w:val="28"/>
          <w:lang w:val="en-US"/>
        </w:rPr>
        <w:t xml:space="preserve">сключением земель, находящихся в собственности Российской Федерации, в другую категорию и состава прилагаемых к нему документов», экспертным заключением Управления Министерства юстиции Российской Федерации по Камчатскому краю от 22.09.2025 № 41/02-2770/25: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Министерства имущественных и земельных отношений Камчатского края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приказ Министерства имущественных и земельных отношений Камчатского края от 12.05.2025 № 31-Н «Об утверждении Административного регламента Министерства имущественных и земельных отношений К</w:t>
      </w:r>
      <w:r>
        <w:rPr>
          <w:sz w:val="28"/>
          <w:szCs w:val="28"/>
          <w:lang w:val="en-US"/>
        </w:rPr>
        <w:t xml:space="preserve">амчатского края по предоставлению государственной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tbl>
      <w:tblPr>
        <w:tblStyle w:val="851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POSITIONAPPROVING</w:t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17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FIOAPPROVING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ind w:left="6237"/>
        <w:jc w:val="both"/>
        <w:spacing w:after="160" w:line="259" w:lineRule="auto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left="6237"/>
        <w:jc w:val="both"/>
        <w:spacing w:before="240"/>
        <w:rPr>
          <w:sz w:val="28"/>
          <w:szCs w:val="28"/>
          <w:lang w:val="en-US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left="6237"/>
        <w:spacing w:before="240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Минимущества Камчатского края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Министерства имущественных и земельных отношений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физическим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индивидуальным предпринимателям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</w:t>
      </w:r>
      <w:r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862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lang w:eastAsia="ru-RU"/>
        </w:rPr>
        <w:t xml:space="preserve">муниципальных услуг (функций)»</w:t>
      </w:r>
      <w:r>
        <w:rPr>
          <w:rStyle w:val="862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Министерством имущественных и земельных отношений Камчатского края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получения Услуги в многофункциональном центре предоставления государственных и муниципальных услуг не предусмотрена.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переводом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опечаток и (или) ошибок, допущенных в результате предоставления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уведомление об отказе в исправлении опечаток и (или) ошибок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путем направления на адрес электронной почты заявителя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почтовой связи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 власти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58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календарных дней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ходатайство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eastAsia="ru-RU"/>
        </w:rPr>
        <w:t xml:space="preserve"> 21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календарны</w:t>
      </w:r>
      <w:r>
        <w:rPr>
          <w:sz w:val="28"/>
          <w:szCs w:val="28"/>
          <w:lang w:val="en-US" w:eastAsia="ru-RU"/>
        </w:rPr>
        <w:t xml:space="preserve">й</w:t>
      </w:r>
      <w:r>
        <w:rPr>
          <w:sz w:val="28"/>
          <w:szCs w:val="28"/>
          <w:lang w:val="en-US" w:eastAsia="ru-RU"/>
        </w:rPr>
        <w:t xml:space="preserve"> д</w:t>
      </w:r>
      <w:r>
        <w:rPr>
          <w:sz w:val="28"/>
          <w:szCs w:val="28"/>
          <w:lang w:val="en-US" w:eastAsia="ru-RU"/>
        </w:rPr>
        <w:t xml:space="preserve">е</w:t>
      </w:r>
      <w:r>
        <w:rPr>
          <w:sz w:val="28"/>
          <w:szCs w:val="28"/>
          <w:lang w:val="en-US" w:eastAsia="ru-RU"/>
        </w:rPr>
        <w:t xml:space="preserve">н</w:t>
      </w:r>
      <w:r>
        <w:rPr>
          <w:sz w:val="28"/>
          <w:szCs w:val="28"/>
          <w:lang w:val="en-US" w:eastAsia="ru-RU"/>
        </w:rPr>
        <w:t xml:space="preserve">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заявление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  <w:t xml:space="preserve">ходатайства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  <w:t xml:space="preserve">ходатайства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val="en-US"/>
        </w:rPr>
        <w:t xml:space="preserve">ходатайства</w:t>
      </w:r>
      <w:r>
        <w:rPr>
          <w:b/>
          <w:sz w:val="28"/>
          <w:szCs w:val="28"/>
          <w:lang w:val="en-US"/>
        </w:rPr>
        <w:t xml:space="preserve">, </w:t>
      </w:r>
      <w:r>
        <w:rPr>
          <w:b/>
          <w:sz w:val="28"/>
          <w:szCs w:val="28"/>
          <w:lang w:val="en-US"/>
        </w:rPr>
        <w:t xml:space="preserve">заявления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Информационные системы, используемые для предоставления Услуги: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Единый портал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единая система межведомственного электронного взаимодействия</w:t>
      </w:r>
      <w:r>
        <w:rPr>
          <w:rStyle w:val="862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переводом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69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70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сельскохозяйственного назначения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Иные случаи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Имеются иные правообладатели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Земли иных категорий или земельные участки в составе таких земель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Отсутствуют иные правообладатели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опечаток и (или) ошибок, допущенных в результате предоставления Услуги,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обратился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78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представителя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Единого портала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путем направления почтового отправления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Проверка действительности Паспорта Гражданина РФ по серии и номеру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Министерство внутренних дел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ЕГРИП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перевода земельного участка из одной категории земель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проект рекультивации земель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 для перевода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согласие правообладателя земельного участка на перевод земельного участка в другую категорию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58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ходатайства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правоустанавливающий документ на земельный участок, сведения о котором отсутствуют в Едином государственном реестре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бумажного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ходатайством обратилось ненадлежащее лицо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к ходатайству приложены документы, состав, форма или содержание которых не соответствуют требованиям земельного законодательства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из Единого государственного реестра недвижимости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служба государственной регистрации, кадастра и картографии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Сведения о проведении и результатах государственной экологической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Росприроднадзор</w:t>
      </w:r>
      <w:r>
        <w:rPr>
          <w:sz w:val="28"/>
          <w:szCs w:val="28"/>
          <w:lang w:val="en-US"/>
        </w:rPr>
        <w:t xml:space="preserve">»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ходатайства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рабочих дней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 даты</w:t>
      </w:r>
      <w:r>
        <w:rPr>
          <w:sz w:val="28"/>
          <w:szCs w:val="28"/>
        </w:rPr>
        <w:t xml:space="preserve"> направления межведомственного запроса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отрицательного заключения государственной экологической экспертизы в случае, если ее проведение предусмотрено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другую, либо запрет на такой перевод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календарного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21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календарный день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электронный документ, подписанный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бумажный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путем направления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распоряжение Правительства Камчатского края о переводе земель или земельных участков в составе таких земель из одной категории в другую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путем направления на адрес электронной почты заявителя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уведомление об отказе в исправлении опечаток и (или) ошибок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должностными лицами Органа власти, уполномоченными на осуществление контроля за предоставлением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обращений граждан и юридических лиц на нарушения законодательства, в том числе на качество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информационных стендах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устной форме по телефону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письменной форме на основании письменного обращения (почтой, электронной почтой, факсимильной связью)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размещение информации на Едином портале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Региональном портале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федеральной государственной информационной системы досудебного обжалования http://do.gosuslugi.ru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Органа власти в сети «Интернет»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в Орган власти при личном обращении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почтовым отправлением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Минимущества Камчатского края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</w:p>
    <w:tbl>
      <w:tblPr>
        <w:tblStyle w:val="85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Перевод земель или земельных участков в составе таких земель из одной категории в другую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Иные случаи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Имеются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право не зарегистрировано в ЕГРН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опечаток и (или) ошибок, допущенных в результате предоставления Услуги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обратился лично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Перевод земель или земельных участков в составе таких земель из одной категории в другую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Заявитель обращается лично или через представителя?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Право на земельный участок зарегистрировано в ЕГРН?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зарегистрировано в ЕГРН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Право не зарегистрировано в ЕГРН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Действующая категория земель или земельных участков в составе таких земель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Земли сельскохозяйственного назначения или земельные участки в составе таких земель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Земли иных категорий или земельные участки в составе таких земель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Случаи, связанные со строительством линейных объектов на период осуществления такого строительства, а также с добычей полезных ископаемых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Иные случаи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Наличие иных правообладателей земельного участка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Имеются иные правообладатели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Отсутствуют иные правообладатели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опечаток и (или) ошибок, допущенных в результате предоставления Услуги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Заявитель обращается лично или через представителя?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Обратился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Обращается через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849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Cs w:val="20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Минимущества Камчатского края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являющийся основанием возникновения права собственности, владения, пользования земельным участком (наименование и реквизиты документа)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государственной регистрации права на земельный участок и дата его присвоения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или описание местоположения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разрешенного использования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69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70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принадлежности земельного участка к сельскохозяйственным угодьям, в том числе особо ценным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пашни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залежь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сенокосы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пастбища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многолетние насаждения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особо ценные сельскохозяйственные угодья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Ходатайство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 переводе земель или земельных участков в составе таких земель из одной категории в другую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государственной регистрации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правоустанавливающих документов на земельный участок: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выдачи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участок, и 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в состав которых входит земельный участок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земель, перевод в состав которых предполагается осуществить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Обоснование перевода земельного участка из состава земель одной категории в другую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связи с (указать причину)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Я даю свое согласие в соответствии со статьей 9 Федерального закона от 27.07.2006 № 152-ФЗ «О персональных данных» на обработку представленных персональных данных (для индивидуального предпринимателя)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74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субъект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населенный пункт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улица (проезд, шоссе, бульвар, проспект, переулок)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дома (строения, сооружения, здания, домовладения)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квартиры (помещения, офиса, комнаты)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Паспортные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личный номер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паспортом сверено: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Контактные данные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75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76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 - индивидуальном предпринимателе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и 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 по месту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77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78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ind w:left="4962"/>
        <w:spacing w:line="360" w:lineRule="exact"/>
        <w:rPr>
          <w:sz w:val="24"/>
          <w:szCs w:val="24"/>
        </w:rPr>
      </w:pPr>
      <w:r>
        <w:rPr>
          <w:sz w:val="22"/>
        </w:rPr>
      </w:r>
      <w:r>
        <w:rPr>
          <w:sz w:val="24"/>
          <w:szCs w:val="24"/>
        </w:rPr>
        <w:t xml:space="preserve">Наименование органа власти (организации)</w:t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Наименование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должности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</w:t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ind w:left="4961"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Заявление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об исправлении опечаток и (или) ошибок, допущенных в результате предоставления Услуги</w:t>
      </w:r>
      <w:r>
        <w:rPr>
          <w:sz w:val="24"/>
          <w:szCs w:val="24"/>
          <w:lang w:val="en-US"/>
        </w:rPr>
      </w:r>
      <w:r>
        <w:rPr>
          <w:sz w:val="24"/>
          <w:szCs w:val="24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КПП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его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внести исправления в документ, выданный в результате предоставления Услуги, содержащий опечатки и (или) ошибки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документа, содержащего опечатку и (или) ошибку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содержащие опечатку и (или) ошибку, которые необходимо исправить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корректные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направить почтовым отправлением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организации - заявителя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Segoe UI Symbol">
    <w:panose1 w:val="020B0502040204020203"/>
  </w:font>
  <w:font w:name="Yu Gothic Light">
    <w:panose1 w:val="020B0300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862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9"/>
    <w:link w:val="8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9"/>
    <w:link w:val="8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9"/>
    <w:link w:val="8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9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9"/>
    <w:link w:val="8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9"/>
    <w:link w:val="87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8"/>
    <w:next w:val="8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8"/>
    <w:next w:val="8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8"/>
    <w:next w:val="8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38"/>
    <w:next w:val="8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39"/>
    <w:link w:val="34"/>
    <w:uiPriority w:val="10"/>
    <w:rPr>
      <w:sz w:val="48"/>
      <w:szCs w:val="48"/>
    </w:rPr>
  </w:style>
  <w:style w:type="paragraph" w:styleId="36">
    <w:name w:val="Subtitle"/>
    <w:basedOn w:val="838"/>
    <w:next w:val="8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39"/>
    <w:link w:val="36"/>
    <w:uiPriority w:val="11"/>
    <w:rPr>
      <w:sz w:val="24"/>
      <w:szCs w:val="24"/>
    </w:rPr>
  </w:style>
  <w:style w:type="paragraph" w:styleId="38">
    <w:name w:val="Quote"/>
    <w:basedOn w:val="838"/>
    <w:next w:val="8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8"/>
    <w:next w:val="8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39"/>
    <w:link w:val="853"/>
    <w:uiPriority w:val="99"/>
  </w:style>
  <w:style w:type="character" w:styleId="45">
    <w:name w:val="Footer Char"/>
    <w:basedOn w:val="839"/>
    <w:link w:val="855"/>
    <w:uiPriority w:val="99"/>
  </w:style>
  <w:style w:type="paragraph" w:styleId="46">
    <w:name w:val="Caption"/>
    <w:basedOn w:val="838"/>
    <w:next w:val="8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181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annotation reference"/>
    <w:uiPriority w:val="99"/>
    <w:rPr>
      <w:sz w:val="16"/>
      <w:szCs w:val="16"/>
    </w:rPr>
  </w:style>
  <w:style w:type="paragraph" w:styleId="843">
    <w:name w:val="annotation text"/>
    <w:basedOn w:val="838"/>
    <w:link w:val="844"/>
    <w:uiPriority w:val="99"/>
    <w:unhideWhenUsed/>
    <w:rPr>
      <w:szCs w:val="20"/>
    </w:rPr>
  </w:style>
  <w:style w:type="character" w:styleId="844" w:customStyle="1">
    <w:name w:val="Текст примечания Знак"/>
    <w:basedOn w:val="839"/>
    <w:link w:val="84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45">
    <w:name w:val="Balloon Text"/>
    <w:basedOn w:val="838"/>
    <w:link w:val="8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9"/>
    <w:link w:val="84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47">
    <w:name w:val="annotation subject"/>
    <w:basedOn w:val="843"/>
    <w:next w:val="843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4"/>
    <w:link w:val="84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49" w:customStyle="1">
    <w:name w:val="! ТЗ Стиль __ТекстОсн_1и + Times New Roman 12 пт По ширине Первая стр..."/>
    <w:basedOn w:val="838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850" w:customStyle="1">
    <w:name w:val="Сетка таблицы3"/>
    <w:basedOn w:val="840"/>
    <w:next w:val="851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>
    <w:name w:val="Table Grid"/>
    <w:basedOn w:val="8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>
    <w:name w:val="List Paragraph"/>
    <w:basedOn w:val="838"/>
    <w:uiPriority w:val="34"/>
    <w:qFormat/>
    <w:pPr>
      <w:contextualSpacing/>
      <w:ind w:left="720"/>
    </w:pPr>
  </w:style>
  <w:style w:type="paragraph" w:styleId="853">
    <w:name w:val="Header"/>
    <w:basedOn w:val="838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39"/>
    <w:link w:val="853"/>
    <w:uiPriority w:val="99"/>
    <w:rPr>
      <w:rFonts w:ascii="Times New Roman" w:hAnsi="Times New Roman" w:eastAsia="Times New Roman" w:cs="Times New Roman"/>
      <w:sz w:val="20"/>
    </w:rPr>
  </w:style>
  <w:style w:type="paragraph" w:styleId="855">
    <w:name w:val="Footer"/>
    <w:basedOn w:val="838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39"/>
    <w:link w:val="855"/>
    <w:uiPriority w:val="99"/>
    <w:rPr>
      <w:rFonts w:ascii="Times New Roman" w:hAnsi="Times New Roman" w:eastAsia="Times New Roman" w:cs="Times New Roman"/>
      <w:sz w:val="20"/>
    </w:rPr>
  </w:style>
  <w:style w:type="paragraph" w:styleId="857">
    <w:name w:val="endnote text"/>
    <w:basedOn w:val="838"/>
    <w:link w:val="858"/>
    <w:uiPriority w:val="99"/>
    <w:semiHidden/>
    <w:unhideWhenUsed/>
    <w:rPr>
      <w:szCs w:val="20"/>
    </w:rPr>
  </w:style>
  <w:style w:type="character" w:styleId="858" w:customStyle="1">
    <w:name w:val="Текст концевой сноски Знак"/>
    <w:basedOn w:val="839"/>
    <w:link w:val="85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59">
    <w:name w:val="endnote reference"/>
    <w:basedOn w:val="839"/>
    <w:uiPriority w:val="99"/>
    <w:semiHidden/>
    <w:unhideWhenUsed/>
    <w:rPr>
      <w:vertAlign w:val="superscript"/>
    </w:rPr>
  </w:style>
  <w:style w:type="paragraph" w:styleId="860">
    <w:name w:val="footnote text"/>
    <w:basedOn w:val="838"/>
    <w:link w:val="861"/>
    <w:uiPriority w:val="99"/>
    <w:unhideWhenUsed/>
    <w:rPr>
      <w:szCs w:val="20"/>
    </w:rPr>
  </w:style>
  <w:style w:type="character" w:styleId="861" w:customStyle="1">
    <w:name w:val="Текст сноски Знак"/>
    <w:basedOn w:val="839"/>
    <w:link w:val="86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862">
    <w:name w:val="footnote reference"/>
    <w:basedOn w:val="839"/>
    <w:uiPriority w:val="99"/>
    <w:semiHidden/>
    <w:unhideWhenUsed/>
    <w:rPr>
      <w:vertAlign w:val="superscript"/>
    </w:rPr>
  </w:style>
  <w:style w:type="paragraph" w:styleId="86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864">
    <w:name w:val="Body Text"/>
    <w:basedOn w:val="838"/>
    <w:link w:val="865"/>
    <w:uiPriority w:val="1"/>
    <w:qFormat/>
    <w:pPr>
      <w:widowControl w:val="off"/>
    </w:pPr>
    <w:rPr>
      <w:sz w:val="24"/>
      <w:szCs w:val="24"/>
    </w:rPr>
  </w:style>
  <w:style w:type="character" w:styleId="865" w:customStyle="1">
    <w:name w:val="Основной текст Знак"/>
    <w:basedOn w:val="839"/>
    <w:link w:val="864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866">
    <w:name w:val="HTML Code"/>
    <w:basedOn w:val="839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9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0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1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2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3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KucherenkoOS</cp:lastModifiedBy>
  <cp:revision>4</cp:revision>
  <dcterms:created xsi:type="dcterms:W3CDTF">2025-01-21T12:28:00Z</dcterms:created>
  <dcterms:modified xsi:type="dcterms:W3CDTF">2025-12-15T02:48:01Z</dcterms:modified>
</cp:coreProperties>
</file>