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20" w:rsidRDefault="00637B44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7120" w:rsidRDefault="001C7120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1C7120" w:rsidRDefault="001C712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1C7120" w:rsidRDefault="001C712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1C7120" w:rsidRDefault="00637B4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1C7120" w:rsidRDefault="001C71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C7120" w:rsidRDefault="00637B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1C7120" w:rsidRDefault="00637B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1C7120" w:rsidRDefault="001C712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1C7120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1C7120" w:rsidRDefault="00637B4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1C712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C7120" w:rsidRDefault="00637B4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1C712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1C7120" w:rsidRDefault="001C71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1C7120" w:rsidRDefault="001C712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7120" w:rsidRDefault="00637B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</w:t>
      </w:r>
      <w:r>
        <w:rPr>
          <w:rFonts w:ascii="Times New Roman" w:hAnsi="Times New Roman"/>
          <w:b/>
          <w:spacing w:val="-4"/>
          <w:sz w:val="28"/>
        </w:rPr>
        <w:t>от</w:t>
      </w:r>
      <w:r>
        <w:rPr>
          <w:rFonts w:ascii="Times New Roman" w:hAnsi="Times New Roman"/>
          <w:b/>
          <w:spacing w:val="-4"/>
          <w:sz w:val="28"/>
        </w:rPr>
        <w:t xml:space="preserve"> 13.07.2016 № 268-П «Об утверждении Порядков предоставления субсидий из краевого бюджета на реализацию мероприятий по трудоустройству незанятых инвалидов на оборудованные (оснащенные) для них рабочие места и проведения отбора получателей субсидии»</w:t>
      </w:r>
    </w:p>
    <w:p w:rsidR="001C7120" w:rsidRDefault="001C712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7120" w:rsidRDefault="001C712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7120" w:rsidRDefault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</w:t>
      </w:r>
      <w:r>
        <w:rPr>
          <w:rFonts w:ascii="Times New Roman" w:hAnsi="Times New Roman"/>
          <w:sz w:val="28"/>
        </w:rPr>
        <w:t>ЕЛЬСТВО ПОСТАНОВЛЯЕТ:</w:t>
      </w:r>
    </w:p>
    <w:p w:rsidR="001C7120" w:rsidRDefault="001C712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7120" w:rsidRDefault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Правительства Камчатского края </w:t>
      </w:r>
      <w:r>
        <w:rPr>
          <w:rFonts w:ascii="Times New Roman" w:hAnsi="Times New Roman"/>
          <w:spacing w:val="-4"/>
          <w:sz w:val="28"/>
        </w:rPr>
        <w:t>от 13.07.2016 № 268-П «Об утверждении Порядков предоставления субсидий из краевого бюджета на реализацию мероприятий по трудоустройству незанятых инвалидов на оборудованные (ос</w:t>
      </w:r>
      <w:r>
        <w:rPr>
          <w:rFonts w:ascii="Times New Roman" w:hAnsi="Times New Roman"/>
          <w:spacing w:val="-4"/>
          <w:sz w:val="28"/>
        </w:rPr>
        <w:t xml:space="preserve">нащенные) для них рабочие места и проведения отбора получателей субсидии» изменения согласно </w:t>
      </w:r>
      <w:proofErr w:type="gramStart"/>
      <w:r>
        <w:rPr>
          <w:rFonts w:ascii="Times New Roman" w:hAnsi="Times New Roman"/>
          <w:spacing w:val="-4"/>
          <w:sz w:val="28"/>
        </w:rPr>
        <w:t>приложению</w:t>
      </w:r>
      <w:proofErr w:type="gramEnd"/>
      <w:r>
        <w:rPr>
          <w:rFonts w:ascii="Times New Roman" w:hAnsi="Times New Roman"/>
          <w:spacing w:val="-4"/>
          <w:sz w:val="28"/>
        </w:rPr>
        <w:t xml:space="preserve"> к настоящему постановлени</w:t>
      </w:r>
      <w:r>
        <w:rPr>
          <w:rFonts w:ascii="Times New Roman" w:hAnsi="Times New Roman"/>
          <w:sz w:val="28"/>
        </w:rPr>
        <w:t>ю.</w:t>
      </w:r>
    </w:p>
    <w:p w:rsidR="001C7120" w:rsidRDefault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1C7120" w:rsidRDefault="001C712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7120" w:rsidRDefault="001C712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7120" w:rsidRDefault="001C712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1C7120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C7120" w:rsidRDefault="00637B4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1C7120" w:rsidRDefault="00637B4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1C7120" w:rsidRDefault="00637B44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1C7120" w:rsidRDefault="001C7120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1C7120" w:rsidRDefault="001C7120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C7120" w:rsidRDefault="001C7120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1C7120" w:rsidRDefault="00637B44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1C7120" w:rsidRDefault="001C712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C7120" w:rsidRDefault="001C7120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C7120" w:rsidRDefault="00637B4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1C7120" w:rsidRDefault="00637B4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1C712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120" w:rsidRDefault="00637B44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1C712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120" w:rsidRDefault="00637B44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1C712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1C712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637B44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637B44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637B44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7120" w:rsidRDefault="00637B44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1C7120" w:rsidRDefault="001C712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7120" w:rsidRDefault="00637B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:rsidR="001C7120" w:rsidRDefault="00637B4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постановление Правительства Камчатского края </w:t>
      </w:r>
      <w:r>
        <w:rPr>
          <w:rFonts w:ascii="Times New Roman" w:hAnsi="Times New Roman"/>
          <w:spacing w:val="-4"/>
          <w:sz w:val="28"/>
        </w:rPr>
        <w:t xml:space="preserve">от 13.07.2016 </w:t>
      </w:r>
      <w:r>
        <w:rPr>
          <w:rFonts w:ascii="Times New Roman" w:hAnsi="Times New Roman"/>
          <w:spacing w:val="-4"/>
          <w:sz w:val="28"/>
        </w:rPr>
        <w:br/>
        <w:t xml:space="preserve">№ </w:t>
      </w:r>
      <w:r>
        <w:rPr>
          <w:rFonts w:ascii="Times New Roman" w:hAnsi="Times New Roman"/>
          <w:spacing w:val="-4"/>
          <w:sz w:val="28"/>
        </w:rPr>
        <w:t>268-П «Об утверждении Порядков предоставления субсидий из краевого бюджета на реализацию мероприятий по трудоустройству незанятых инвалидов на оборудованные (оснащенные) для них рабочие места и проведения отбора получателей субсидии»</w:t>
      </w:r>
    </w:p>
    <w:p w:rsidR="001C7120" w:rsidRDefault="001C7120" w:rsidP="00637B44">
      <w:pPr>
        <w:spacing w:after="0" w:line="240" w:lineRule="auto"/>
        <w:jc w:val="both"/>
        <w:rPr>
          <w:rFonts w:ascii="Times New Roman" w:hAnsi="Times New Roman"/>
        </w:rPr>
      </w:pPr>
      <w:bookmarkStart w:id="2" w:name="_GoBack"/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приложении 1: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пункт 1 части 6 дополнить словами: «Оборудование на дату приобретения должно являться новым (ранее не использованным и (или) не введенным в эксплуатацию);»;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абзацы первый – четвертый части 21 изложить в следующей редакции: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«21. Общий размер субсидии, п</w:t>
      </w:r>
      <w:r>
        <w:rPr>
          <w:rFonts w:ascii="Times New Roman" w:hAnsi="Times New Roman"/>
          <w:sz w:val="28"/>
        </w:rPr>
        <w:t>редоставляемой получателям субсидий, рассчитывается по формуле: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с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= (Р</w:t>
      </w:r>
      <w:r>
        <w:rPr>
          <w:rFonts w:ascii="Times New Roman" w:hAnsi="Times New Roman"/>
          <w:sz w:val="28"/>
          <w:vertAlign w:val="subscript"/>
        </w:rPr>
        <w:t xml:space="preserve">об1 </w:t>
      </w:r>
      <w:r>
        <w:rPr>
          <w:rFonts w:ascii="Times New Roman" w:hAnsi="Times New Roman"/>
          <w:sz w:val="28"/>
        </w:rPr>
        <w:t>+ Р</w:t>
      </w:r>
      <w:r>
        <w:rPr>
          <w:rFonts w:ascii="Times New Roman" w:hAnsi="Times New Roman"/>
          <w:sz w:val="28"/>
          <w:vertAlign w:val="subscript"/>
        </w:rPr>
        <w:t>об2</w:t>
      </w:r>
      <w:r>
        <w:rPr>
          <w:rFonts w:ascii="Times New Roman" w:hAnsi="Times New Roman"/>
          <w:sz w:val="28"/>
        </w:rPr>
        <w:t>) + (</w:t>
      </w:r>
      <w:proofErr w:type="spellStart"/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х </w:t>
      </w:r>
      <w:proofErr w:type="spellStart"/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х </w:t>
      </w: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</w:rPr>
        <w:t>) + (</w:t>
      </w:r>
      <w:proofErr w:type="spellStart"/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х </w:t>
      </w: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</w:rPr>
        <w:t>), где: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с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размер субсидии;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 xml:space="preserve">об1 </w:t>
      </w:r>
      <w:r>
        <w:rPr>
          <w:rFonts w:ascii="Times New Roman" w:hAnsi="Times New Roman"/>
          <w:sz w:val="28"/>
        </w:rPr>
        <w:t>– фактически произведенные затраты на приобретение, монтаж и установку оборудования, необходимого для обо</w:t>
      </w:r>
      <w:r>
        <w:rPr>
          <w:rFonts w:ascii="Times New Roman" w:hAnsi="Times New Roman"/>
          <w:sz w:val="28"/>
        </w:rPr>
        <w:t>рудования (оснащения одного рабочего места (включая надомное);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 xml:space="preserve">об2 </w:t>
      </w:r>
      <w:r>
        <w:rPr>
          <w:rFonts w:ascii="Times New Roman" w:hAnsi="Times New Roman"/>
          <w:sz w:val="28"/>
        </w:rPr>
        <w:t>– фактически произведенные затраты, связанные с обеспечением доступа инвалидов I и II группы к рабочим местам и объектам производственной инфраструктуры.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фактически произведенных зат</w:t>
      </w:r>
      <w:r>
        <w:rPr>
          <w:rFonts w:ascii="Times New Roman" w:hAnsi="Times New Roman"/>
          <w:sz w:val="28"/>
        </w:rPr>
        <w:t>рат (Р</w:t>
      </w:r>
      <w:r>
        <w:rPr>
          <w:rFonts w:ascii="Times New Roman" w:hAnsi="Times New Roman"/>
          <w:sz w:val="28"/>
          <w:vertAlign w:val="subscript"/>
        </w:rPr>
        <w:t>об1</w:t>
      </w:r>
      <w:r>
        <w:rPr>
          <w:rFonts w:ascii="Times New Roman" w:hAnsi="Times New Roman"/>
          <w:sz w:val="28"/>
        </w:rPr>
        <w:t xml:space="preserve"> + Р</w:t>
      </w:r>
      <w:r>
        <w:rPr>
          <w:rFonts w:ascii="Times New Roman" w:hAnsi="Times New Roman"/>
          <w:sz w:val="28"/>
          <w:vertAlign w:val="subscript"/>
        </w:rPr>
        <w:t>об2</w:t>
      </w:r>
      <w:r>
        <w:rPr>
          <w:rFonts w:ascii="Times New Roman" w:hAnsi="Times New Roman"/>
          <w:sz w:val="28"/>
        </w:rPr>
        <w:t>) не может превышать: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200 000, 00 рублей для трудоустройства инвалидов I группы и инвалидов I, II и III группы из числа граждан, которые завершили прохождение военной службы по мобилизации или военной службы по контракту, заключенному в соо</w:t>
      </w:r>
      <w:r>
        <w:rPr>
          <w:rFonts w:ascii="Times New Roman" w:hAnsi="Times New Roman"/>
          <w:sz w:val="28"/>
        </w:rPr>
        <w:t xml:space="preserve">тветствии с пунктом 7 статьи 38 Федерального закона от 28.03.1998 </w:t>
      </w:r>
      <w:r>
        <w:rPr>
          <w:rFonts w:ascii="Times New Roman" w:hAnsi="Times New Roman"/>
          <w:sz w:val="28"/>
        </w:rPr>
        <w:br/>
        <w:t>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</w:t>
      </w:r>
      <w:r>
        <w:rPr>
          <w:rFonts w:ascii="Times New Roman" w:hAnsi="Times New Roman"/>
          <w:sz w:val="28"/>
        </w:rPr>
        <w:t>аконом от 31.05.1996 № 61-ФЗ «Об обороне», а также инвалидов I, II и III группы из числа граждан, относящиеся к членам их семей в соответствии с пунктами 5 и 5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статьи 2 Федерального закона от 27.05.1998 № 76-ФЗ «О статусе военнослужащих»;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150 000,00 рубле</w:t>
      </w:r>
      <w:r>
        <w:rPr>
          <w:rFonts w:ascii="Times New Roman" w:hAnsi="Times New Roman"/>
          <w:sz w:val="28"/>
        </w:rPr>
        <w:t>й для трудоустройства инвалидов II группы;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100 000,00 рублей для трудоустройства инвалидов III группы.»;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часть 46 дополнить подпунктом 6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следующего содержания: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) документы, подтверждающие статус гражданина, завершившего прохождение военной службы по</w:t>
      </w:r>
      <w:r>
        <w:rPr>
          <w:rFonts w:ascii="Times New Roman" w:hAnsi="Times New Roman"/>
          <w:sz w:val="28"/>
        </w:rPr>
        <w:t xml:space="preserve"> мобилизации или военной службы по контракту, заключенному в соответствии с пунктом 7 статьи 38 Федерального закона от 28.03.1998 № 53-ФЗ «О воинской обязанности и военной службе», либо у которых прекратилось действие заключенного ими контракта о пребывани</w:t>
      </w:r>
      <w:r>
        <w:rPr>
          <w:rFonts w:ascii="Times New Roman" w:hAnsi="Times New Roman"/>
          <w:sz w:val="28"/>
        </w:rPr>
        <w:t xml:space="preserve">и в </w:t>
      </w:r>
      <w:r>
        <w:rPr>
          <w:rFonts w:ascii="Times New Roman" w:hAnsi="Times New Roman"/>
          <w:sz w:val="28"/>
        </w:rPr>
        <w:lastRenderedPageBreak/>
        <w:t>добровольческом формировании, предусмотренном Федеральным законом от 31.05.1996 № 61-ФЗ «Об обороне», либо статус гражданина, относящегося к членам их семей в соответствии с пунктами 5 и 5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статьи 2 Федерального закона от 27.05.1998 № 76-ФЗ «О статусе </w:t>
      </w:r>
      <w:r>
        <w:rPr>
          <w:rFonts w:ascii="Times New Roman" w:hAnsi="Times New Roman"/>
          <w:sz w:val="28"/>
        </w:rPr>
        <w:t>военнослужащих»;»;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часть 56 исключить;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приложении 2: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пункт 1 части 6 дополнить словами: «Оборудование на дату приобретения должно являться новым (ранее не использованным и (или) не введенным в эксплуатацию);»;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абзацы первый – ч</w:t>
      </w:r>
      <w:r>
        <w:rPr>
          <w:rFonts w:ascii="Times New Roman" w:hAnsi="Times New Roman"/>
          <w:sz w:val="28"/>
        </w:rPr>
        <w:t>етвертый части 21 изложить в следующей редакции: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«21. Общий размер субсидии, предоставляемой получателям субсидий, рассчитывается по формуле: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с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= (Р</w:t>
      </w:r>
      <w:r>
        <w:rPr>
          <w:rFonts w:ascii="Times New Roman" w:hAnsi="Times New Roman"/>
          <w:sz w:val="28"/>
          <w:vertAlign w:val="subscript"/>
        </w:rPr>
        <w:t>об1</w:t>
      </w:r>
      <w:r>
        <w:rPr>
          <w:rFonts w:ascii="Times New Roman" w:hAnsi="Times New Roman"/>
          <w:sz w:val="28"/>
        </w:rPr>
        <w:t xml:space="preserve"> +Р</w:t>
      </w:r>
      <w:r>
        <w:rPr>
          <w:rFonts w:ascii="Times New Roman" w:hAnsi="Times New Roman"/>
          <w:sz w:val="28"/>
          <w:vertAlign w:val="subscript"/>
        </w:rPr>
        <w:t>об2</w:t>
      </w:r>
      <w:r>
        <w:rPr>
          <w:rFonts w:ascii="Times New Roman" w:hAnsi="Times New Roman"/>
          <w:sz w:val="28"/>
        </w:rPr>
        <w:t>) + (</w:t>
      </w:r>
      <w:proofErr w:type="spellStart"/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</w:rPr>
        <w:t xml:space="preserve"> х </w:t>
      </w:r>
      <w:proofErr w:type="spellStart"/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х </w:t>
      </w: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</w:rPr>
        <w:t>) + (</w:t>
      </w:r>
      <w:proofErr w:type="spellStart"/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  <w:vertAlign w:val="subscript"/>
        </w:rPr>
        <w:t>р</w:t>
      </w:r>
      <w:proofErr w:type="spellEnd"/>
      <w:r>
        <w:rPr>
          <w:rFonts w:ascii="Times New Roman" w:hAnsi="Times New Roman"/>
          <w:sz w:val="28"/>
        </w:rPr>
        <w:t xml:space="preserve"> х </w:t>
      </w:r>
      <w:proofErr w:type="spellStart"/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</w:rPr>
        <w:t xml:space="preserve"> х </w:t>
      </w: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</w:rPr>
        <w:t>), где: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с</w:t>
      </w:r>
      <w:proofErr w:type="spellEnd"/>
      <w:r>
        <w:rPr>
          <w:rFonts w:ascii="Times New Roman" w:hAnsi="Times New Roman"/>
          <w:sz w:val="28"/>
        </w:rPr>
        <w:t xml:space="preserve"> – размер субсидии;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об1</w:t>
      </w:r>
      <w:r>
        <w:rPr>
          <w:rFonts w:ascii="Times New Roman" w:hAnsi="Times New Roman"/>
          <w:sz w:val="28"/>
        </w:rPr>
        <w:t xml:space="preserve"> – фактически произведенные затраты на приобретение, монтаж и установку оборудования, необходимого для оборудования (оснащения одного рабочего места (включая надомное);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vertAlign w:val="subscript"/>
        </w:rPr>
        <w:t>об2</w:t>
      </w:r>
      <w:r>
        <w:rPr>
          <w:rFonts w:ascii="Times New Roman" w:hAnsi="Times New Roman"/>
          <w:sz w:val="28"/>
        </w:rPr>
        <w:t xml:space="preserve"> – фактически произведенные затраты, связанные с обеспечением доступа инвалидов I и</w:t>
      </w:r>
      <w:r>
        <w:rPr>
          <w:rFonts w:ascii="Times New Roman" w:hAnsi="Times New Roman"/>
          <w:sz w:val="28"/>
        </w:rPr>
        <w:t xml:space="preserve"> II группы к рабочим местам и объектам производственной инфраструктуры.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 фактически произведенных затрат (Р</w:t>
      </w:r>
      <w:r>
        <w:rPr>
          <w:rFonts w:ascii="Times New Roman" w:hAnsi="Times New Roman"/>
          <w:sz w:val="28"/>
          <w:vertAlign w:val="subscript"/>
        </w:rPr>
        <w:t>об1</w:t>
      </w:r>
      <w:r>
        <w:rPr>
          <w:rFonts w:ascii="Times New Roman" w:hAnsi="Times New Roman"/>
          <w:sz w:val="28"/>
        </w:rPr>
        <w:t xml:space="preserve"> +Р</w:t>
      </w:r>
      <w:r>
        <w:rPr>
          <w:rFonts w:ascii="Times New Roman" w:hAnsi="Times New Roman"/>
          <w:sz w:val="28"/>
          <w:vertAlign w:val="subscript"/>
        </w:rPr>
        <w:t>об2</w:t>
      </w:r>
      <w:r>
        <w:rPr>
          <w:rFonts w:ascii="Times New Roman" w:hAnsi="Times New Roman"/>
          <w:sz w:val="28"/>
        </w:rPr>
        <w:t>) не может превышать: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200 000, 00 рублей для трудоустройства инвалидов I группы и инвалидов I, II и III группы из числа граждан, которы</w:t>
      </w:r>
      <w:r>
        <w:rPr>
          <w:rFonts w:ascii="Times New Roman" w:hAnsi="Times New Roman"/>
          <w:sz w:val="28"/>
        </w:rPr>
        <w:t xml:space="preserve">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28.03.1998 </w:t>
      </w:r>
      <w:r>
        <w:rPr>
          <w:rFonts w:ascii="Times New Roman" w:hAnsi="Times New Roman"/>
          <w:sz w:val="28"/>
        </w:rPr>
        <w:br/>
        <w:t>№ 53-ФЗ «О воинской обязанности и военной службе», либо у которых прекратилось дейст</w:t>
      </w:r>
      <w:r>
        <w:rPr>
          <w:rFonts w:ascii="Times New Roman" w:hAnsi="Times New Roman"/>
          <w:sz w:val="28"/>
        </w:rPr>
        <w:t>вие заключенного ими контракта о пребывании в добровольческом формировании, предусмотренном Федеральным законом от 31.05.1996 № 61-ФЗ «Об обороне», а также инвалидов I, II и III группы из числа граждан, относящиеся к членам их семей в соответствии с пункта</w:t>
      </w:r>
      <w:r>
        <w:rPr>
          <w:rFonts w:ascii="Times New Roman" w:hAnsi="Times New Roman"/>
          <w:sz w:val="28"/>
        </w:rPr>
        <w:t>ми 5 и 5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статьи 2 Федерального закона от 27.05.1998 № 76-ФЗ «О статусе военнослужащих»;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150 000,00 рублей для трудоустройства инвалидов II группы;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100 000,00 рублей для трудоустройства инвалидов III группы.»;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абзац двенадцатый после слова «претендовать</w:t>
      </w:r>
      <w:r>
        <w:rPr>
          <w:rFonts w:ascii="Times New Roman" w:hAnsi="Times New Roman"/>
          <w:sz w:val="28"/>
        </w:rPr>
        <w:t>» дополнить словом «на»;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часть 46 дополнить подпунктом 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) документы, подтверждающие статус гражданина, завершившего прохождение военной службы по мобилизации или военной службы по контракту, заключенному в соответствии с пунк</w:t>
      </w:r>
      <w:r>
        <w:rPr>
          <w:rFonts w:ascii="Times New Roman" w:hAnsi="Times New Roman"/>
          <w:sz w:val="28"/>
        </w:rPr>
        <w:t>том 7 статьи 38 Федерального закона от 28.03.1998 № 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31.05.1</w:t>
      </w:r>
      <w:r>
        <w:rPr>
          <w:rFonts w:ascii="Times New Roman" w:hAnsi="Times New Roman"/>
          <w:sz w:val="28"/>
        </w:rPr>
        <w:t>996 № 61-ФЗ «Об обороне», либо статус гражданина, относящегося к членам их семей в соответствии с пунктами 5 и 5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статьи 2 Федерального закона от 27.05.1998 № 76-ФЗ «О статусе военнослужащих»;»;</w:t>
      </w:r>
    </w:p>
    <w:p w:rsidR="001C7120" w:rsidRDefault="00637B44" w:rsidP="00637B4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часть 56 исключить.</w:t>
      </w:r>
      <w:bookmarkEnd w:id="2"/>
    </w:p>
    <w:sectPr w:rsidR="001C7120">
      <w:headerReference w:type="default" r:id="rId7"/>
      <w:footerReference w:type="first" r:id="rId8"/>
      <w:pgSz w:w="11906" w:h="16838"/>
      <w:pgMar w:top="1134" w:right="851" w:bottom="1134" w:left="1418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7B44">
      <w:pPr>
        <w:spacing w:after="0" w:line="240" w:lineRule="auto"/>
      </w:pPr>
      <w:r>
        <w:separator/>
      </w:r>
    </w:p>
  </w:endnote>
  <w:endnote w:type="continuationSeparator" w:id="0">
    <w:p w:rsidR="00000000" w:rsidRDefault="0063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20" w:rsidRDefault="001C7120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7B44">
      <w:pPr>
        <w:spacing w:after="0" w:line="240" w:lineRule="auto"/>
      </w:pPr>
      <w:r>
        <w:separator/>
      </w:r>
    </w:p>
  </w:footnote>
  <w:footnote w:type="continuationSeparator" w:id="0">
    <w:p w:rsidR="00000000" w:rsidRDefault="0063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20" w:rsidRDefault="00637B44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7120" w:rsidRDefault="00637B44">
                          <w:pPr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0;height:0;z-index:251658240;visibility:visible;mso-wrap-style:square;mso-wrap-distance-left:9pt;mso-wrap-distance-top:0;mso-wrap-distance-right:9pt;mso-wrap-distance-bottom:0;mso-position-horizontal:center;mso-position-horizontal-relative:outer-margin-area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" filled="f" stroked="f">
              <v:textbox style="mso-fit-shape-to-text:t">
                <w:txbxContent>
                  <w:p w:rsidR="001C7120" w:rsidRDefault="00637B44">
                    <w:pPr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20"/>
    <w:rsid w:val="001C7120"/>
    <w:rsid w:val="0063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9A5B"/>
  <w15:docId w15:val="{F5AC7BFE-91EE-4642-B950-6A8534C0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563C1" w:themeColor="hyperlink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4">
    <w:name w:val="Основной шрифт абзаца2"/>
    <w:link w:val="16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Вероника Александровна</cp:lastModifiedBy>
  <cp:revision>2</cp:revision>
  <dcterms:created xsi:type="dcterms:W3CDTF">2025-12-12T03:42:00Z</dcterms:created>
  <dcterms:modified xsi:type="dcterms:W3CDTF">2025-12-12T03:48:00Z</dcterms:modified>
</cp:coreProperties>
</file>