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line="276" w:lineRule="auto"/>
        <w:ind/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3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МИНИСТЕРСТВО ТУРИЗМА 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B000000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2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2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2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9639"/>
      </w:tblGrid>
      <w:tr>
        <w:tc>
          <w:tcPr>
            <w:tcW w:type="dxa" w:w="963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0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Об утверждении Перечня должностей </w:t>
            </w:r>
            <w:r>
              <w:rPr>
                <w:rFonts w:ascii="Times New Roman" w:hAnsi="Times New Roman"/>
                <w:b w:val="1"/>
                <w:sz w:val="28"/>
              </w:rPr>
              <w:t xml:space="preserve">государственной гражданской службы </w:t>
            </w:r>
            <w:r>
              <w:rPr>
                <w:rFonts w:ascii="Times New Roman" w:hAnsi="Times New Roman"/>
                <w:b w:val="1"/>
                <w:sz w:val="28"/>
              </w:rPr>
              <w:t xml:space="preserve">Камчатского края в Министерстве туризма </w:t>
            </w:r>
            <w:r>
              <w:rPr>
                <w:rFonts w:ascii="Times New Roman" w:hAnsi="Times New Roman"/>
                <w:b w:val="1"/>
                <w:sz w:val="28"/>
              </w:rPr>
              <w:t xml:space="preserve">Камчатского края, замещение которых </w:t>
            </w:r>
            <w:r>
              <w:rPr>
                <w:rFonts w:ascii="Times New Roman" w:hAnsi="Times New Roman"/>
                <w:b w:val="1"/>
                <w:sz w:val="28"/>
              </w:rPr>
              <w:t>связано с коррупционными рисками</w:t>
            </w:r>
          </w:p>
        </w:tc>
      </w:tr>
    </w:tbl>
    <w:p w14:paraId="1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3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пунктом 1 части 3 постановления Губернатора </w:t>
      </w:r>
      <w:r>
        <w:rPr>
          <w:rFonts w:ascii="Times New Roman" w:hAnsi="Times New Roman"/>
          <w:sz w:val="28"/>
        </w:rPr>
        <w:t xml:space="preserve">Камчатского края от 15.02.2022 № 17 «О некоторых вопросах реализации </w:t>
      </w:r>
      <w:r>
        <w:rPr>
          <w:rFonts w:ascii="Times New Roman" w:hAnsi="Times New Roman"/>
          <w:sz w:val="28"/>
        </w:rPr>
        <w:t xml:space="preserve">нормативных правовых актов Российской Федерации в сфере противодействия </w:t>
      </w:r>
      <w:r>
        <w:rPr>
          <w:rFonts w:ascii="Times New Roman" w:hAnsi="Times New Roman"/>
          <w:sz w:val="28"/>
        </w:rPr>
        <w:t xml:space="preserve">коррупции в исполнительных органах государственной власти Камчатского </w:t>
      </w:r>
      <w:r>
        <w:rPr>
          <w:rFonts w:ascii="Times New Roman" w:hAnsi="Times New Roman"/>
          <w:sz w:val="28"/>
        </w:rPr>
        <w:t>края»</w:t>
      </w:r>
      <w:r>
        <w:rPr>
          <w:rFonts w:ascii="Times New Roman" w:hAnsi="Times New Roman"/>
          <w:sz w:val="28"/>
        </w:rPr>
        <w:t xml:space="preserve"> </w:t>
      </w:r>
    </w:p>
    <w:p w14:paraId="1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</w:t>
      </w:r>
      <w:r>
        <w:rPr>
          <w:rFonts w:ascii="Times New Roman" w:hAnsi="Times New Roman"/>
          <w:sz w:val="28"/>
        </w:rPr>
        <w:t>:</w:t>
      </w:r>
    </w:p>
    <w:p w14:paraId="1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Утвердить Перечень должностей государственной гражданской службы К</w:t>
      </w:r>
      <w:r>
        <w:rPr>
          <w:rFonts w:ascii="Times New Roman" w:hAnsi="Times New Roman"/>
          <w:sz w:val="28"/>
        </w:rPr>
        <w:t xml:space="preserve">амчатского </w:t>
      </w:r>
      <w:r>
        <w:rPr>
          <w:rFonts w:ascii="Times New Roman" w:hAnsi="Times New Roman"/>
          <w:sz w:val="28"/>
        </w:rPr>
        <w:t>края в Министерстве туризма</w:t>
      </w:r>
      <w:r>
        <w:rPr>
          <w:rFonts w:ascii="Times New Roman" w:hAnsi="Times New Roman"/>
          <w:sz w:val="28"/>
        </w:rPr>
        <w:t xml:space="preserve"> Камчатского края, замещение </w:t>
      </w:r>
      <w:r>
        <w:rPr>
          <w:rFonts w:ascii="Times New Roman" w:hAnsi="Times New Roman"/>
          <w:sz w:val="28"/>
        </w:rPr>
        <w:t>которых связано с коррупционными рисками (далее – Перечень</w:t>
      </w:r>
      <w:r>
        <w:rPr>
          <w:rFonts w:ascii="Times New Roman" w:hAnsi="Times New Roman"/>
          <w:sz w:val="28"/>
        </w:rPr>
        <w:t xml:space="preserve">), согласно </w:t>
      </w:r>
      <w:r>
        <w:rPr>
          <w:rFonts w:ascii="Times New Roman" w:hAnsi="Times New Roman"/>
          <w:sz w:val="28"/>
        </w:rPr>
        <w:t>приложению</w:t>
      </w:r>
      <w:r>
        <w:rPr>
          <w:rFonts w:ascii="Times New Roman" w:hAnsi="Times New Roman"/>
          <w:sz w:val="28"/>
        </w:rPr>
        <w:t xml:space="preserve"> к настоящему приказу.</w:t>
      </w:r>
    </w:p>
    <w:p w14:paraId="18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Референту</w:t>
      </w:r>
      <w:r>
        <w:rPr>
          <w:rFonts w:ascii="Times New Roman" w:hAnsi="Times New Roman"/>
          <w:sz w:val="28"/>
        </w:rPr>
        <w:t xml:space="preserve"> отдела программ, мониторинга и анализа туристической деятельности Министерства туризма</w:t>
      </w:r>
      <w:r>
        <w:rPr>
          <w:rFonts w:ascii="Times New Roman" w:hAnsi="Times New Roman"/>
          <w:sz w:val="28"/>
        </w:rPr>
        <w:t xml:space="preserve"> Камчатского края Шепелевой Е.С. обеспечить</w:t>
      </w:r>
      <w:r>
        <w:rPr>
          <w:rFonts w:ascii="Times New Roman" w:hAnsi="Times New Roman"/>
          <w:sz w:val="28"/>
        </w:rPr>
        <w:t>:</w:t>
      </w:r>
    </w:p>
    <w:p w14:paraId="19000000">
      <w:pPr>
        <w:numPr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ознакомление заинтересованных государственных гражданских сл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жащих Министерства туризма Камчатского края с Переч</w:t>
      </w:r>
      <w:r>
        <w:rPr>
          <w:rFonts w:ascii="Times New Roman" w:hAnsi="Times New Roman"/>
          <w:sz w:val="28"/>
        </w:rPr>
        <w:t>нем;</w:t>
      </w:r>
    </w:p>
    <w:p w14:paraId="1A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sz w:val="28"/>
        </w:rPr>
        <w:t>представление предложений об уточнении (корректировке) Перечня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случае изменений штатного расписания Министерств</w:t>
      </w:r>
      <w:r>
        <w:rPr>
          <w:rFonts w:ascii="Times New Roman" w:hAnsi="Times New Roman"/>
          <w:sz w:val="28"/>
        </w:rPr>
        <w:t xml:space="preserve">а туризма Камчатского края </w:t>
      </w:r>
      <w:r>
        <w:rPr>
          <w:rFonts w:ascii="Times New Roman" w:hAnsi="Times New Roman"/>
          <w:sz w:val="28"/>
        </w:rPr>
        <w:t>в части наименований структурных подразделений и (или) должностей, а также в случае изменений положений должн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стных регламентов гражданских служащих, замещающих должности, связа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ные с коррупционными рисками</w:t>
      </w:r>
      <w:r>
        <w:rPr>
          <w:rFonts w:ascii="Times New Roman" w:hAnsi="Times New Roman"/>
          <w:sz w:val="28"/>
        </w:rPr>
        <w:t>;</w:t>
      </w:r>
    </w:p>
    <w:p w14:paraId="1B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контроль за соблюдением государственными гражданскими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служащи</w:t>
      </w:r>
      <w:r>
        <w:rPr>
          <w:rFonts w:ascii="Times New Roman" w:hAnsi="Times New Roman"/>
          <w:sz w:val="28"/>
        </w:rPr>
        <w:t>ми Министерства туризма Камчатского края</w:t>
      </w:r>
      <w:r>
        <w:rPr>
          <w:rFonts w:ascii="Times New Roman" w:hAnsi="Times New Roman"/>
          <w:sz w:val="28"/>
        </w:rPr>
        <w:t xml:space="preserve">, должности которых включены в </w:t>
      </w:r>
      <w:r>
        <w:rPr>
          <w:rFonts w:ascii="Times New Roman" w:hAnsi="Times New Roman"/>
          <w:sz w:val="28"/>
        </w:rPr>
        <w:t>Перечень конкретных должностей, требований федерального законодательства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законодательства Камчатского края о предо</w:t>
      </w:r>
      <w:r>
        <w:rPr>
          <w:rFonts w:ascii="Times New Roman" w:hAnsi="Times New Roman"/>
          <w:sz w:val="28"/>
        </w:rPr>
        <w:t xml:space="preserve">ставлении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установленные сроки </w:t>
      </w:r>
      <w:r>
        <w:rPr>
          <w:rFonts w:ascii="Times New Roman" w:hAnsi="Times New Roman"/>
          <w:sz w:val="28"/>
        </w:rPr>
        <w:t>представителю нанимателя сведений о своих доходах, об имуществе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обязательствах имущественного характера, а также о доходах, об имуществе и </w:t>
      </w:r>
      <w:r>
        <w:rPr>
          <w:rFonts w:ascii="Times New Roman" w:hAnsi="Times New Roman"/>
          <w:sz w:val="28"/>
        </w:rPr>
        <w:t>обязательствах имущественного характера членов своей семьи.</w:t>
      </w:r>
    </w:p>
    <w:p w14:paraId="1C000000">
      <w:pPr>
        <w:spacing w:after="0" w:line="240" w:lineRule="auto"/>
        <w:ind w:firstLine="708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3. Признать утратившим силу</w:t>
      </w:r>
      <w:r>
        <w:rPr>
          <w:rFonts w:ascii="Times New Roman" w:hAnsi="Times New Roman"/>
          <w:sz w:val="28"/>
        </w:rPr>
        <w:t xml:space="preserve"> приказ Министерства туризма Камчатского края от 04.03.2022 № 52/23 «</w:t>
      </w:r>
      <w:r>
        <w:rPr>
          <w:rFonts w:ascii="Times New Roman" w:hAnsi="Times New Roman"/>
          <w:b w:val="0"/>
          <w:sz w:val="28"/>
        </w:rPr>
        <w:t xml:space="preserve">Об утверждении Перечня должностей </w:t>
      </w:r>
      <w:r>
        <w:rPr>
          <w:rFonts w:ascii="Times New Roman" w:hAnsi="Times New Roman"/>
          <w:b w:val="0"/>
          <w:sz w:val="28"/>
        </w:rPr>
        <w:t xml:space="preserve">государственной гражданской службы </w:t>
      </w:r>
      <w:r>
        <w:rPr>
          <w:rFonts w:ascii="Times New Roman" w:hAnsi="Times New Roman"/>
          <w:b w:val="0"/>
          <w:sz w:val="28"/>
        </w:rPr>
        <w:t xml:space="preserve">Камчатского края в Министерстве туризма </w:t>
      </w:r>
      <w:r>
        <w:rPr>
          <w:rFonts w:ascii="Times New Roman" w:hAnsi="Times New Roman"/>
          <w:b w:val="0"/>
          <w:sz w:val="28"/>
        </w:rPr>
        <w:t xml:space="preserve">Камчатского края, замещение которых </w:t>
      </w:r>
      <w:r>
        <w:rPr>
          <w:rFonts w:ascii="Times New Roman" w:hAnsi="Times New Roman"/>
          <w:b w:val="0"/>
          <w:sz w:val="28"/>
        </w:rPr>
        <w:t>связано с коррупционными рисками».</w:t>
      </w:r>
    </w:p>
    <w:p w14:paraId="1D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Настоящий приказ вступает в силу после дня его официального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опубликования.</w:t>
      </w:r>
    </w:p>
    <w:p w14:paraId="1E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2977"/>
        <w:gridCol w:w="4394"/>
        <w:gridCol w:w="2268"/>
      </w:tblGrid>
      <w:tr>
        <w:trPr>
          <w:trHeight w:hRule="atLeast" w:val="2220"/>
        </w:trPr>
        <w:tc>
          <w:tcPr>
            <w:tcW w:type="dxa" w:w="2977"/>
            <w:shd w:fill="auto" w:val="clear"/>
            <w:tcMar>
              <w:left w:type="dxa" w:w="0"/>
              <w:right w:type="dxa" w:w="0"/>
            </w:tcMar>
          </w:tcPr>
          <w:p w14:paraId="20000000">
            <w:pPr>
              <w:spacing w:after="0" w:line="240" w:lineRule="auto"/>
              <w:ind w:right="27"/>
              <w:rPr>
                <w:rFonts w:ascii="Times New Roman" w:hAnsi="Times New Roman"/>
                <w:sz w:val="24"/>
              </w:rPr>
            </w:pPr>
          </w:p>
          <w:p w14:paraId="21000000">
            <w:pPr>
              <w:spacing w:after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14:paraId="22000000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394"/>
            <w:shd w:fill="auto" w:val="clear"/>
            <w:tcMar>
              <w:left w:type="dxa" w:w="0"/>
              <w:right w:type="dxa" w:w="0"/>
            </w:tcMar>
          </w:tcPr>
          <w:p w14:paraId="23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3"/>
          </w:p>
        </w:tc>
        <w:tc>
          <w:tcPr>
            <w:tcW w:type="dxa" w:w="2268"/>
            <w:shd w:fill="auto" w:val="clear"/>
            <w:tcMar>
              <w:left w:type="dxa" w:w="0"/>
              <w:right w:type="dxa" w:w="0"/>
            </w:tcMar>
          </w:tcPr>
          <w:p w14:paraId="24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</w:p>
          <w:p w14:paraId="25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В.В. Русанов</w:t>
            </w:r>
          </w:p>
        </w:tc>
      </w:tr>
    </w:tbl>
    <w:p w14:paraId="26000000">
      <w:r>
        <w:br w:type="page"/>
      </w:r>
    </w:p>
    <w:p w14:paraId="27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к приказу Министерства</w:t>
      </w:r>
    </w:p>
    <w:p w14:paraId="28000000">
      <w:pPr>
        <w:widowControl w:val="0"/>
        <w:spacing w:after="0" w:line="240" w:lineRule="auto"/>
        <w:ind w:left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туризма Камчатского </w:t>
      </w:r>
      <w:r>
        <w:rPr>
          <w:rFonts w:ascii="Times New Roman" w:hAnsi="Times New Roman"/>
          <w:sz w:val="24"/>
        </w:rPr>
        <w:t>края</w:t>
      </w:r>
    </w:p>
    <w:tbl>
      <w:tblPr>
        <w:tblStyle w:val="Style_3"/>
        <w:tblW w:type="auto" w:w="0"/>
        <w:tblInd w:type="dxa" w:w="5061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40"/>
        <w:gridCol w:w="1869"/>
        <w:gridCol w:w="486"/>
        <w:gridCol w:w="1701"/>
      </w:tblGrid>
      <w:tr>
        <w:tc>
          <w:tcPr>
            <w:tcW w:type="dxa" w:w="44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9000000">
            <w:pPr>
              <w:spacing w:after="60"/>
              <w:ind w:left="-6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A000000">
            <w:pPr>
              <w:spacing w:after="60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</w:t>
            </w:r>
            <w:r>
              <w:rPr>
                <w:rFonts w:ascii="Times New Roman" w:hAnsi="Times New Roman"/>
                <w:color w:themeColor="background1" w:val="FFFFFF"/>
                <w:sz w:val="28"/>
              </w:rPr>
              <w:t>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]</w:t>
            </w:r>
          </w:p>
        </w:tc>
        <w:tc>
          <w:tcPr>
            <w:tcW w:type="dxa" w:w="4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B000000">
            <w:pPr>
              <w:spacing w:after="60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C000000">
            <w:pPr>
              <w:spacing w:after="60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2D000000">
      <w:pPr>
        <w:spacing w:after="0" w:line="240" w:lineRule="auto"/>
        <w:ind w:left="0"/>
        <w:contextualSpacing w:val="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Перечень должностей государственной гражданской службы Камчатского </w:t>
      </w:r>
      <w:r>
        <w:rPr>
          <w:rFonts w:ascii="Times New Roman" w:hAnsi="Times New Roman"/>
          <w:sz w:val="24"/>
        </w:rPr>
        <w:t>края в Министерстве туризма</w:t>
      </w:r>
      <w:r>
        <w:rPr>
          <w:rFonts w:ascii="Times New Roman" w:hAnsi="Times New Roman"/>
          <w:sz w:val="24"/>
        </w:rPr>
        <w:t xml:space="preserve"> Камчатского края, замещение которых связано с коррупционными рисками</w:t>
      </w:r>
    </w:p>
    <w:p w14:paraId="2E000000">
      <w:pPr>
        <w:rPr>
          <w:rFonts w:ascii="Times New Roman" w:hAnsi="Times New Roman"/>
          <w:sz w:val="24"/>
        </w:rPr>
      </w:pPr>
    </w:p>
    <w:tbl>
      <w:tblPr>
        <w:tblStyle w:val="Style_2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129"/>
        <w:gridCol w:w="4456"/>
        <w:gridCol w:w="4035"/>
      </w:tblGrid>
      <w:tr>
        <w:tc>
          <w:tcPr>
            <w:tcW w:type="dxa" w:w="1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spacing w:after="0" w:line="240" w:lineRule="auto"/>
              <w:ind w:left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4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spacing w:after="0" w:line="240" w:lineRule="auto"/>
              <w:ind w:lef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структурного подразделения/ наименование должности</w:t>
            </w:r>
          </w:p>
        </w:tc>
        <w:tc>
          <w:tcPr>
            <w:tcW w:type="dxa" w:w="4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spacing w:after="0" w:line="240" w:lineRule="auto"/>
              <w:ind w:lef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коррупционных рисков*, с которыми связано исполнение должностных обязанносте</w:t>
            </w:r>
            <w:r>
              <w:rPr>
                <w:rFonts w:ascii="Times New Roman" w:hAnsi="Times New Roman"/>
                <w:sz w:val="24"/>
              </w:rPr>
              <w:t>й</w:t>
            </w:r>
          </w:p>
        </w:tc>
      </w:tr>
      <w:tr>
        <w:tc>
          <w:tcPr>
            <w:tcW w:type="dxa" w:w="962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spacing w:after="0" w:line="240" w:lineRule="auto"/>
              <w:ind w:left="72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программ, мониторинга и анализа туристической деятельности</w:t>
            </w:r>
          </w:p>
          <w:p w14:paraId="33000000">
            <w:pPr>
              <w:spacing w:after="0" w:line="240" w:lineRule="auto"/>
              <w:ind w:left="0"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spacing w:after="0" w:line="240" w:lineRule="auto"/>
              <w:ind w:left="0"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spacing w:after="0" w:line="240" w:lineRule="auto"/>
              <w:ind w:left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Референт</w:t>
            </w:r>
          </w:p>
        </w:tc>
        <w:tc>
          <w:tcPr>
            <w:tcW w:type="dxa" w:w="4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spacing w:after="0" w:line="240" w:lineRule="auto"/>
              <w:ind w:left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государственных з</w:t>
            </w:r>
            <w:r>
              <w:rPr>
                <w:rFonts w:ascii="Times New Roman" w:hAnsi="Times New Roman"/>
                <w:sz w:val="24"/>
              </w:rPr>
              <w:t xml:space="preserve">акупок; осуществление </w:t>
            </w:r>
            <w:r>
              <w:rPr>
                <w:rFonts w:ascii="Times New Roman" w:hAnsi="Times New Roman"/>
                <w:sz w:val="24"/>
              </w:rPr>
              <w:t xml:space="preserve">организационно-распорядительных </w:t>
            </w:r>
            <w:r>
              <w:rPr>
                <w:rFonts w:ascii="Times New Roman" w:hAnsi="Times New Roman"/>
                <w:sz w:val="24"/>
              </w:rPr>
              <w:t>функций</w:t>
            </w:r>
          </w:p>
        </w:tc>
      </w:tr>
      <w:tr>
        <w:tc>
          <w:tcPr>
            <w:tcW w:type="dxa" w:w="1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spacing w:after="0" w:line="240" w:lineRule="auto"/>
              <w:ind w:left="0"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spacing w:after="0" w:line="240" w:lineRule="auto"/>
              <w:ind w:left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Консультант</w:t>
            </w:r>
          </w:p>
        </w:tc>
        <w:tc>
          <w:tcPr>
            <w:tcW w:type="dxa" w:w="4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spacing w:after="0" w:line="240" w:lineRule="auto"/>
              <w:ind w:left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организационно-распорядительных функций</w:t>
            </w:r>
          </w:p>
        </w:tc>
      </w:tr>
      <w:tr>
        <w:tc>
          <w:tcPr>
            <w:tcW w:type="dxa" w:w="962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spacing w:after="0" w:line="240" w:lineRule="auto"/>
              <w:ind w:left="72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проектов и развития инфраструктуры туризма</w:t>
            </w:r>
          </w:p>
          <w:p w14:paraId="3B000000">
            <w:pPr>
              <w:spacing w:after="0" w:line="240" w:lineRule="auto"/>
              <w:ind w:left="0"/>
              <w:contextualSpacing w:val="1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spacing w:after="0" w:line="240" w:lineRule="auto"/>
              <w:ind w:left="0"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spacing w:after="0" w:line="240" w:lineRule="auto"/>
              <w:ind w:left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</w:t>
            </w:r>
          </w:p>
        </w:tc>
        <w:tc>
          <w:tcPr>
            <w:tcW w:type="dxa" w:w="4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spacing w:after="0" w:line="240" w:lineRule="auto"/>
              <w:ind w:left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функций представителя власти либо организационно-распорядительных функций</w:t>
            </w:r>
          </w:p>
        </w:tc>
      </w:tr>
      <w:tr>
        <w:tc>
          <w:tcPr>
            <w:tcW w:type="dxa" w:w="1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spacing w:after="0" w:line="240" w:lineRule="auto"/>
              <w:ind w:left="0"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spacing w:after="0" w:line="240" w:lineRule="auto"/>
              <w:ind w:left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Референт</w:t>
            </w:r>
          </w:p>
        </w:tc>
        <w:tc>
          <w:tcPr>
            <w:tcW w:type="dxa" w:w="4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spacing w:after="0" w:line="240" w:lineRule="auto"/>
              <w:ind w:left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и принятие решений о распределении бюджетных ассигнований, субсидии</w:t>
            </w:r>
          </w:p>
        </w:tc>
      </w:tr>
      <w:tr>
        <w:tc>
          <w:tcPr>
            <w:tcW w:type="dxa" w:w="1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spacing w:after="0" w:line="240" w:lineRule="auto"/>
              <w:ind w:left="0"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spacing w:after="0" w:line="240" w:lineRule="auto"/>
              <w:ind w:left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Консультант</w:t>
            </w:r>
          </w:p>
        </w:tc>
        <w:tc>
          <w:tcPr>
            <w:tcW w:type="dxa" w:w="4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spacing w:after="0" w:line="240" w:lineRule="auto"/>
              <w:ind w:left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государственных з</w:t>
            </w:r>
            <w:r>
              <w:rPr>
                <w:rFonts w:ascii="Times New Roman" w:hAnsi="Times New Roman"/>
                <w:sz w:val="24"/>
              </w:rPr>
              <w:t>акупок</w:t>
            </w:r>
            <w:r>
              <w:rPr>
                <w:rFonts w:ascii="Times New Roman" w:hAnsi="Times New Roman"/>
                <w:sz w:val="24"/>
              </w:rPr>
              <w:t xml:space="preserve">; </w:t>
            </w:r>
            <w:r>
              <w:rPr>
                <w:rFonts w:ascii="Times New Roman" w:hAnsi="Times New Roman"/>
                <w:sz w:val="24"/>
              </w:rPr>
              <w:t>хранение 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распределение материально-технических ресурсов</w:t>
            </w:r>
          </w:p>
        </w:tc>
      </w:tr>
      <w:tr>
        <w:tc>
          <w:tcPr>
            <w:tcW w:type="dxa" w:w="1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spacing w:after="0" w:line="240" w:lineRule="auto"/>
              <w:ind w:left="0"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spacing w:after="0" w:line="240" w:lineRule="auto"/>
              <w:ind w:left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Консультант</w:t>
            </w:r>
          </w:p>
        </w:tc>
        <w:tc>
          <w:tcPr>
            <w:tcW w:type="dxa" w:w="4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spacing w:after="0" w:line="240" w:lineRule="auto"/>
              <w:ind w:left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Осуществление </w:t>
            </w:r>
            <w:r>
              <w:rPr>
                <w:rFonts w:ascii="Times New Roman" w:hAnsi="Times New Roman"/>
                <w:sz w:val="24"/>
              </w:rPr>
              <w:t>организационно-</w:t>
            </w:r>
            <w:r>
              <w:rPr>
                <w:rFonts w:ascii="Times New Roman" w:hAnsi="Times New Roman"/>
                <w:sz w:val="24"/>
              </w:rPr>
              <w:t>распорядительных функций</w:t>
            </w:r>
          </w:p>
        </w:tc>
      </w:tr>
      <w:tr>
        <w:trPr>
          <w:trHeight w:hRule="atLeast" w:val="581"/>
        </w:trPr>
        <w:tc>
          <w:tcPr>
            <w:tcW w:type="dxa" w:w="962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spacing w:after="0" w:before="0" w:line="360" w:lineRule="atLeast"/>
              <w:ind/>
              <w:jc w:val="center"/>
              <w:outlineLvl w:val="2"/>
              <w:rPr>
                <w:rFonts w:ascii="Times New Roman" w:hAnsi="Times New Roman"/>
                <w:color w:val="252525"/>
                <w:sz w:val="24"/>
              </w:rPr>
            </w:pPr>
            <w:r>
              <w:rPr>
                <w:rFonts w:ascii="Times New Roman" w:hAnsi="Times New Roman"/>
                <w:color w:val="252525"/>
                <w:sz w:val="24"/>
                <w:highlight w:val="white"/>
              </w:rPr>
              <w:t>Отдел внешнеэкономической деятельности</w:t>
            </w:r>
          </w:p>
          <w:p w14:paraId="49000000">
            <w:pPr>
              <w:spacing w:after="0" w:before="0" w:line="360" w:lineRule="atLeast"/>
              <w:ind/>
              <w:jc w:val="center"/>
              <w:outlineLvl w:val="2"/>
              <w:rPr>
                <w:rFonts w:ascii="Times New Roman" w:hAnsi="Times New Roman"/>
                <w:color w:val="252525"/>
                <w:sz w:val="24"/>
                <w:highlight w:val="white"/>
              </w:rPr>
            </w:pPr>
          </w:p>
        </w:tc>
      </w:tr>
      <w:tr>
        <w:tc>
          <w:tcPr>
            <w:tcW w:type="dxa" w:w="1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spacing w:after="0" w:line="240" w:lineRule="auto"/>
              <w:ind w:left="0"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spacing w:after="0" w:line="240" w:lineRule="auto"/>
              <w:ind w:left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</w:t>
            </w:r>
          </w:p>
        </w:tc>
        <w:tc>
          <w:tcPr>
            <w:tcW w:type="dxa" w:w="4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spacing w:after="0" w:line="240" w:lineRule="auto"/>
              <w:ind w:left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функций представителя власти либо организационно-распорядительных функций</w:t>
            </w:r>
          </w:p>
        </w:tc>
      </w:tr>
      <w:tr>
        <w:tc>
          <w:tcPr>
            <w:tcW w:type="dxa" w:w="1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spacing w:after="0" w:line="240" w:lineRule="auto"/>
              <w:ind w:left="0"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spacing w:after="0" w:line="240" w:lineRule="auto"/>
              <w:ind w:left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Референт</w:t>
            </w:r>
          </w:p>
        </w:tc>
        <w:tc>
          <w:tcPr>
            <w:tcW w:type="dxa" w:w="4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spacing w:after="0" w:line="240" w:lineRule="auto"/>
              <w:ind w:left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Осуществление </w:t>
            </w:r>
            <w:r>
              <w:rPr>
                <w:rFonts w:ascii="Times New Roman" w:hAnsi="Times New Roman"/>
                <w:sz w:val="24"/>
              </w:rPr>
              <w:t>организационно-распорядительных функций</w:t>
            </w:r>
          </w:p>
        </w:tc>
      </w:tr>
    </w:tbl>
    <w:p w14:paraId="50000000">
      <w:pPr>
        <w:spacing w:after="0" w:line="240" w:lineRule="auto"/>
        <w:ind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* </w:t>
      </w:r>
      <w:r>
        <w:rPr>
          <w:rFonts w:ascii="Times New Roman" w:hAnsi="Times New Roman"/>
          <w:sz w:val="24"/>
        </w:rPr>
        <w:t>Виды коррупционных рисков предусмотрены разделом 2 Перечня должностей государственной гражданской службы Камчатского края в исполнительных органах государственной власти Камчатского края, при замещении которых государственные гражданские служащие Камчатского края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утвержденного постановлением Губернатора Камчатского края от 15.02.2022 № 17.</w:t>
      </w:r>
    </w:p>
    <w:p w14:paraId="51000000"/>
    <w:sectPr>
      <w:headerReference r:id="rId1" w:type="default"/>
      <w:pgSz w:h="16838" w:orient="portrait" w:w="11906"/>
      <w:pgMar w:bottom="1134" w:footer="709" w:gutter="0" w:header="709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pPr>
        <w:ind w:hanging="360" w:left="720"/>
      </w:pPr>
    </w:lvl>
    <w:lvl w:ilvl="1">
      <w:start w:val="1"/>
      <w:numFmt w:val="russianLower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decimal"/>
      <w:lvlText w:val="%4)"/>
      <w:pPr>
        <w:ind w:hanging="360" w:left="2880"/>
      </w:pPr>
    </w:lvl>
    <w:lvl w:ilvl="4">
      <w:start w:val="1"/>
      <w:numFmt w:val="russianLower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russianLow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Plain Text"/>
    <w:basedOn w:val="Style_4"/>
    <w:link w:val="Style_6_ch"/>
    <w:pPr>
      <w:spacing w:after="0" w:line="240" w:lineRule="auto"/>
      <w:ind/>
    </w:pPr>
    <w:rPr>
      <w:rFonts w:ascii="Calibri" w:hAnsi="Calibri"/>
    </w:rPr>
  </w:style>
  <w:style w:styleId="Style_6_ch" w:type="character">
    <w:name w:val="Plain Text"/>
    <w:basedOn w:val="Style_4_ch"/>
    <w:link w:val="Style_6"/>
    <w:rPr>
      <w:rFonts w:ascii="Calibri" w:hAnsi="Calibri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Balloon Text"/>
    <w:basedOn w:val="Style_4"/>
    <w:link w:val="Style_12_ch"/>
    <w:pPr>
      <w:spacing w:after="0" w:line="240" w:lineRule="auto"/>
      <w:ind/>
    </w:pPr>
    <w:rPr>
      <w:rFonts w:ascii="Segoe UI" w:hAnsi="Segoe UI"/>
      <w:sz w:val="18"/>
    </w:rPr>
  </w:style>
  <w:style w:styleId="Style_12_ch" w:type="character">
    <w:name w:val="Balloon Text"/>
    <w:basedOn w:val="Style_4_ch"/>
    <w:link w:val="Style_12"/>
    <w:rPr>
      <w:rFonts w:ascii="Segoe UI" w:hAnsi="Segoe UI"/>
      <w:sz w:val="18"/>
    </w:rPr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4" w:type="paragraph">
    <w:name w:val="footer"/>
    <w:basedOn w:val="Style_4"/>
    <w:link w:val="Style_14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14_ch" w:type="character">
    <w:name w:val="footer"/>
    <w:basedOn w:val="Style_4_ch"/>
    <w:link w:val="Style_14"/>
    <w:rPr>
      <w:rFonts w:ascii="Times New Roman" w:hAnsi="Times New Roman"/>
      <w:sz w:val="28"/>
    </w:rPr>
  </w:style>
  <w:style w:styleId="Style_15" w:type="paragraph">
    <w:name w:val="heading 5"/>
    <w:next w:val="Style_4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4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basedOn w:val="Style_18"/>
    <w:link w:val="Style_17_ch"/>
    <w:rPr>
      <w:color w:themeColor="hyperlink" w:val="0563C1"/>
      <w:u w:val="single"/>
    </w:rPr>
  </w:style>
  <w:style w:styleId="Style_17_ch" w:type="character">
    <w:name w:val="Hyperlink"/>
    <w:basedOn w:val="Style_18_ch"/>
    <w:link w:val="Style_17"/>
    <w:rPr>
      <w:color w:themeColor="hyperlink" w:val="0563C1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4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4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4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4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25" w:type="paragraph">
    <w:name w:val="Subtitle"/>
    <w:next w:val="Style_4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4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4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3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9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0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2025-11-27T04:27:18Z</dcterms:modified>
</cp:coreProperties>
</file>