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05498" w:rsidTr="001608B0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1608B0" w:rsidRDefault="000D567F" w:rsidP="00A31BAF">
            <w:pPr>
              <w:spacing w:line="276" w:lineRule="auto"/>
              <w:ind w:left="28"/>
              <w:jc w:val="center"/>
              <w:rPr>
                <w:rFonts w:ascii="Times New Roman" w:hAnsi="Times New Roman"/>
                <w:b/>
                <w:sz w:val="28"/>
              </w:rPr>
            </w:pPr>
            <w:r w:rsidRPr="007F1FA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О внесении изменений в постановление Губернатора Камчатского края от</w:t>
            </w:r>
            <w:r w:rsidRPr="007F1FA6">
              <w:rPr>
                <w:rFonts w:ascii="Times New Roman" w:hAnsi="Times New Roman"/>
                <w:b/>
                <w:sz w:val="28"/>
              </w:rPr>
              <w:t xml:space="preserve"> 19.12.2023 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F1FA6">
              <w:rPr>
                <w:rFonts w:ascii="Times New Roman" w:hAnsi="Times New Roman"/>
                <w:b/>
                <w:sz w:val="28"/>
              </w:rPr>
              <w:t xml:space="preserve">56 «Об установлении предельных (максимальных) индексов изменения размера вносимой гражданами платы за коммунальные услуги в муниципальных образованиях </w:t>
            </w:r>
            <w:r>
              <w:rPr>
                <w:rFonts w:ascii="Times New Roman" w:hAnsi="Times New Roman"/>
                <w:b/>
                <w:sz w:val="28"/>
              </w:rPr>
              <w:t>в Камчатском крае на 2024–</w:t>
            </w:r>
            <w:r w:rsidRPr="007F1FA6">
              <w:rPr>
                <w:rFonts w:ascii="Times New Roman" w:hAnsi="Times New Roman"/>
                <w:b/>
                <w:sz w:val="28"/>
              </w:rPr>
              <w:t>2028 годы»</w:t>
            </w: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567F" w:rsidRPr="000D567F" w:rsidRDefault="000D567F" w:rsidP="000D567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0D567F">
        <w:rPr>
          <w:rFonts w:ascii="Times New Roman" w:hAnsi="Times New Roman"/>
          <w:sz w:val="28"/>
        </w:rPr>
        <w:t>ПОСТАНОВЛЯЮ:</w:t>
      </w:r>
    </w:p>
    <w:p w:rsidR="000D567F" w:rsidRPr="000D567F" w:rsidRDefault="000D567F" w:rsidP="000D567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0D567F" w:rsidRPr="000D567F" w:rsidRDefault="000D567F" w:rsidP="000D567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D567F">
        <w:rPr>
          <w:rFonts w:ascii="Times New Roman" w:hAnsi="Times New Roman"/>
          <w:sz w:val="28"/>
        </w:rPr>
        <w:t>1.</w:t>
      </w:r>
      <w:r w:rsidRPr="000D567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Внести в постановление Губернатора Камчатского края от 19.12.2023 </w:t>
      </w:r>
      <w:r w:rsidRPr="000D567F">
        <w:rPr>
          <w:rFonts w:ascii="Times New Roman" w:eastAsiaTheme="minorHAnsi" w:hAnsi="Times New Roman"/>
          <w:bCs/>
          <w:sz w:val="28"/>
          <w:szCs w:val="28"/>
          <w:lang w:eastAsia="en-US"/>
        </w:rPr>
        <w:br/>
        <w:t xml:space="preserve">№ 56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в Камчатском крае на 2024–2028 годы» следующие изменения: </w:t>
      </w:r>
    </w:p>
    <w:p w:rsidR="000D567F" w:rsidRPr="00E73F10" w:rsidRDefault="000D567F" w:rsidP="000D567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1) дополнить частью 2</w:t>
      </w:r>
      <w:r w:rsidR="001A1A01" w:rsidRPr="00E73F10">
        <w:rPr>
          <w:rFonts w:ascii="Times New Roman" w:eastAsiaTheme="minorHAnsi" w:hAnsi="Times New Roman"/>
          <w:bCs/>
          <w:sz w:val="28"/>
          <w:szCs w:val="28"/>
          <w:vertAlign w:val="superscript"/>
          <w:lang w:eastAsia="en-US"/>
        </w:rPr>
        <w:t>2</w:t>
      </w:r>
      <w:r w:rsidRPr="00E73F10">
        <w:rPr>
          <w:rFonts w:ascii="Times New Roman" w:eastAsiaTheme="minorHAnsi" w:hAnsi="Times New Roman"/>
          <w:bCs/>
          <w:sz w:val="28"/>
          <w:szCs w:val="28"/>
          <w:vertAlign w:val="superscript"/>
          <w:lang w:eastAsia="en-US"/>
        </w:rPr>
        <w:t xml:space="preserve"> </w:t>
      </w: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следующего содержания:</w:t>
      </w:r>
    </w:p>
    <w:p w:rsidR="000D567F" w:rsidRPr="00E73F10" w:rsidRDefault="000D567F" w:rsidP="000D567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«2</w:t>
      </w:r>
      <w:r w:rsidR="001A1A01" w:rsidRPr="00E73F10">
        <w:rPr>
          <w:rFonts w:ascii="Times New Roman" w:eastAsiaTheme="minorHAnsi" w:hAnsi="Times New Roman"/>
          <w:bCs/>
          <w:sz w:val="28"/>
          <w:szCs w:val="28"/>
          <w:vertAlign w:val="superscript"/>
          <w:lang w:eastAsia="en-US"/>
        </w:rPr>
        <w:t>2</w:t>
      </w: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. Утвердить 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в Камчатском крае на 202</w:t>
      </w:r>
      <w:r w:rsidR="000D3D60"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год согласно приложению </w:t>
      </w:r>
      <w:r w:rsidR="000D3D60"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 настоящему постановлению.»;</w:t>
      </w:r>
    </w:p>
    <w:p w:rsidR="000D567F" w:rsidRPr="00E73F10" w:rsidRDefault="000D567F" w:rsidP="000D567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2) приложение 1 изложить в редакции согласно приложению 1 к настоящему постановлению;</w:t>
      </w:r>
    </w:p>
    <w:p w:rsidR="000D567F" w:rsidRPr="00E73F10" w:rsidRDefault="000D567F" w:rsidP="000D567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</w:pPr>
      <w:r w:rsidRPr="00E73F10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3) дополнить приложением </w:t>
      </w:r>
      <w:r w:rsidR="000D3D60" w:rsidRPr="00E73F10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4</w:t>
      </w:r>
      <w:r w:rsidRPr="00E73F10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в редакции согласно приложению </w:t>
      </w:r>
      <w:r w:rsidR="001A1A01" w:rsidRPr="00E73F10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>2</w:t>
      </w:r>
      <w:r w:rsidRPr="00E73F10">
        <w:rPr>
          <w:rFonts w:ascii="Times New Roman" w:eastAsiaTheme="minorHAnsi" w:hAnsi="Times New Roman"/>
          <w:bCs/>
          <w:color w:val="auto"/>
          <w:sz w:val="28"/>
          <w:szCs w:val="28"/>
          <w:lang w:eastAsia="en-US"/>
        </w:rPr>
        <w:t xml:space="preserve"> к настоящему постановлению. </w:t>
      </w:r>
    </w:p>
    <w:p w:rsidR="000D567F" w:rsidRPr="000D567F" w:rsidRDefault="000D567F" w:rsidP="000D567F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E73F10">
        <w:rPr>
          <w:rFonts w:ascii="Times New Roman" w:eastAsiaTheme="minorHAnsi" w:hAnsi="Times New Roman"/>
          <w:bCs/>
          <w:sz w:val="28"/>
          <w:szCs w:val="28"/>
          <w:lang w:eastAsia="en-US"/>
        </w:rPr>
        <w:t>2. Настоящее постановление вступает в силу с 1 января 2026 года.</w:t>
      </w:r>
    </w:p>
    <w:p w:rsidR="005A4B4B" w:rsidRDefault="005A4B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 w:rsidP="005A4B4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D0D16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tbl>
      <w:tblPr>
        <w:tblStyle w:val="2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2"/>
        <w:gridCol w:w="487"/>
        <w:gridCol w:w="3728"/>
        <w:gridCol w:w="236"/>
        <w:gridCol w:w="2508"/>
        <w:gridCol w:w="567"/>
        <w:gridCol w:w="1309"/>
      </w:tblGrid>
      <w:tr w:rsidR="00FB5382" w:rsidTr="001B0599">
        <w:trPr>
          <w:trHeight w:val="612"/>
        </w:trPr>
        <w:tc>
          <w:tcPr>
            <w:tcW w:w="562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  <w:r>
              <w:lastRenderedPageBreak/>
              <w:br w:type="page"/>
            </w:r>
          </w:p>
        </w:tc>
        <w:tc>
          <w:tcPr>
            <w:tcW w:w="412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7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3728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620" w:type="dxa"/>
            <w:gridSpan w:val="4"/>
          </w:tcPr>
          <w:tbl>
            <w:tblPr>
              <w:tblStyle w:val="af0"/>
              <w:tblW w:w="4620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1902"/>
              <w:gridCol w:w="494"/>
              <w:gridCol w:w="1737"/>
            </w:tblGrid>
            <w:tr w:rsidR="000D3D60" w:rsidTr="000D3D60">
              <w:trPr>
                <w:trHeight w:val="119"/>
              </w:trPr>
              <w:tc>
                <w:tcPr>
                  <w:tcW w:w="4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3D60" w:rsidRDefault="000D3D60" w:rsidP="000D3D60">
                  <w:pPr>
                    <w:widowControl w:val="0"/>
                    <w:ind w:left="8079" w:hanging="8079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Приложение 1 к постановлению</w:t>
                  </w:r>
                </w:p>
              </w:tc>
            </w:tr>
            <w:tr w:rsidR="000D3D60" w:rsidTr="000D3D60">
              <w:trPr>
                <w:trHeight w:val="125"/>
              </w:trPr>
              <w:tc>
                <w:tcPr>
                  <w:tcW w:w="46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3D60" w:rsidRDefault="000D3D60" w:rsidP="000D3D60">
                  <w:pPr>
                    <w:widowControl w:val="0"/>
                    <w:ind w:left="8079" w:hanging="8079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Губернатора Камчатского края</w:t>
                  </w:r>
                </w:p>
              </w:tc>
            </w:tr>
            <w:tr w:rsidR="000D3D60" w:rsidTr="000D3D60">
              <w:trPr>
                <w:gridAfter w:val="1"/>
                <w:wAfter w:w="1737" w:type="dxa"/>
                <w:trHeight w:val="119"/>
              </w:trPr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0D3D60" w:rsidRDefault="000D3D60" w:rsidP="000D3D60">
                  <w:pPr>
                    <w:widowControl w:val="0"/>
                    <w:ind w:left="8079" w:hanging="8079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0D3D60" w:rsidRDefault="000D3D60" w:rsidP="000D3D60">
                  <w:pPr>
                    <w:widowControl w:val="0"/>
                    <w:ind w:left="8079" w:hanging="8079"/>
                    <w:jc w:val="right"/>
                    <w:rPr>
                      <w:rFonts w:ascii="Times New Roman" w:hAnsi="Times New Roman"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28"/>
                    </w:rPr>
                    <w:t>[R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6"/>
                    </w:rPr>
                    <w:t>EGDATESTAMP]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0D3D60" w:rsidRDefault="000D3D60" w:rsidP="000D3D60">
                  <w:pPr>
                    <w:widowControl w:val="0"/>
                    <w:ind w:left="8079" w:hanging="8079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№</w:t>
                  </w:r>
                </w:p>
              </w:tc>
            </w:tr>
          </w:tbl>
          <w:p w:rsidR="000D3D60" w:rsidRDefault="000D3D60" w:rsidP="000D3D60">
            <w:pPr>
              <w:widowControl w:val="0"/>
              <w:rPr>
                <w:sz w:val="28"/>
              </w:rPr>
            </w:pPr>
          </w:p>
          <w:p w:rsidR="00FB5382" w:rsidRDefault="000D3D60" w:rsidP="00740DEA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 xml:space="preserve">  «</w:t>
            </w:r>
            <w:r w:rsidR="00FB5382">
              <w:rPr>
                <w:sz w:val="28"/>
              </w:rPr>
              <w:t>Приложение 1 к постановлению</w:t>
            </w:r>
          </w:p>
        </w:tc>
      </w:tr>
      <w:tr w:rsidR="00FB5382" w:rsidTr="001B0599">
        <w:trPr>
          <w:trHeight w:val="125"/>
        </w:trPr>
        <w:tc>
          <w:tcPr>
            <w:tcW w:w="562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12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7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3728" w:type="dxa"/>
          </w:tcPr>
          <w:p w:rsidR="00FB5382" w:rsidRDefault="00FB5382" w:rsidP="00740DE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620" w:type="dxa"/>
            <w:gridSpan w:val="4"/>
          </w:tcPr>
          <w:p w:rsidR="00FB5382" w:rsidRDefault="000D3D60" w:rsidP="00740DEA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FB5382">
              <w:rPr>
                <w:sz w:val="28"/>
              </w:rPr>
              <w:t>Губернатора Камчатского края</w:t>
            </w:r>
          </w:p>
        </w:tc>
      </w:tr>
      <w:tr w:rsidR="001B0599" w:rsidRPr="00337EAF" w:rsidTr="00B773DD">
        <w:trPr>
          <w:trHeight w:val="723"/>
        </w:trPr>
        <w:tc>
          <w:tcPr>
            <w:tcW w:w="562" w:type="dxa"/>
          </w:tcPr>
          <w:p w:rsidR="00FB5382" w:rsidRPr="001B0599" w:rsidRDefault="00FB5382" w:rsidP="001B0599">
            <w:pPr>
              <w:rPr>
                <w:sz w:val="28"/>
              </w:rPr>
            </w:pPr>
          </w:p>
        </w:tc>
        <w:tc>
          <w:tcPr>
            <w:tcW w:w="412" w:type="dxa"/>
          </w:tcPr>
          <w:p w:rsidR="00FB5382" w:rsidRPr="00337EAF" w:rsidRDefault="00FB5382" w:rsidP="001B0599">
            <w:pPr>
              <w:widowControl w:val="0"/>
              <w:ind w:left="8079" w:hanging="8079"/>
              <w:rPr>
                <w:color w:val="auto"/>
                <w:sz w:val="28"/>
              </w:rPr>
            </w:pPr>
          </w:p>
        </w:tc>
        <w:tc>
          <w:tcPr>
            <w:tcW w:w="487" w:type="dxa"/>
          </w:tcPr>
          <w:p w:rsidR="00FB5382" w:rsidRPr="00337EAF" w:rsidRDefault="00FB5382" w:rsidP="001B0599">
            <w:pPr>
              <w:widowControl w:val="0"/>
              <w:ind w:left="8079" w:hanging="8079"/>
              <w:rPr>
                <w:color w:val="auto"/>
                <w:sz w:val="28"/>
              </w:rPr>
            </w:pPr>
          </w:p>
        </w:tc>
        <w:tc>
          <w:tcPr>
            <w:tcW w:w="3728" w:type="dxa"/>
          </w:tcPr>
          <w:p w:rsidR="00FB5382" w:rsidRPr="00337EAF" w:rsidRDefault="00FB5382" w:rsidP="00740DEA">
            <w:pPr>
              <w:widowControl w:val="0"/>
              <w:ind w:left="8079" w:hanging="8079"/>
              <w:jc w:val="right"/>
              <w:rPr>
                <w:color w:val="auto"/>
                <w:sz w:val="28"/>
              </w:rPr>
            </w:pPr>
          </w:p>
        </w:tc>
        <w:tc>
          <w:tcPr>
            <w:tcW w:w="236" w:type="dxa"/>
          </w:tcPr>
          <w:p w:rsidR="00FB5382" w:rsidRPr="0065308F" w:rsidRDefault="000D3D60" w:rsidP="00740DEA">
            <w:pPr>
              <w:widowControl w:val="0"/>
              <w:ind w:left="8079" w:hanging="8079"/>
              <w:jc w:val="right"/>
              <w:rPr>
                <w:color w:val="FF0000"/>
                <w:sz w:val="28"/>
                <w:highlight w:val="cyan"/>
              </w:rPr>
            </w:pPr>
            <w:r>
              <w:rPr>
                <w:color w:val="FF0000"/>
                <w:sz w:val="28"/>
                <w:highlight w:val="cyan"/>
              </w:rPr>
              <w:t xml:space="preserve"> </w:t>
            </w:r>
            <w:proofErr w:type="spellStart"/>
            <w:r>
              <w:rPr>
                <w:color w:val="FF0000"/>
                <w:sz w:val="28"/>
                <w:highlight w:val="cyan"/>
              </w:rPr>
              <w:t>от</w:t>
            </w:r>
            <w:r w:rsidR="00FB5382" w:rsidRPr="0065308F">
              <w:rPr>
                <w:color w:val="FF0000"/>
                <w:sz w:val="28"/>
                <w:highlight w:val="cyan"/>
              </w:rPr>
              <w:t>т</w:t>
            </w:r>
            <w:proofErr w:type="spellEnd"/>
          </w:p>
        </w:tc>
        <w:tc>
          <w:tcPr>
            <w:tcW w:w="2508" w:type="dxa"/>
          </w:tcPr>
          <w:tbl>
            <w:tblPr>
              <w:tblStyle w:val="af0"/>
              <w:tblW w:w="2404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1914"/>
            </w:tblGrid>
            <w:tr w:rsidR="000D3D60" w:rsidRPr="00337EAF" w:rsidTr="00B773DD">
              <w:trPr>
                <w:trHeight w:val="106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0D3D60" w:rsidRPr="00337EAF" w:rsidRDefault="000D3D60" w:rsidP="00B773DD">
                  <w:pPr>
                    <w:widowControl w:val="0"/>
                    <w:rPr>
                      <w:rFonts w:ascii="Times New Roman" w:hAnsi="Times New Roman"/>
                      <w:color w:val="auto"/>
                      <w:sz w:val="28"/>
                    </w:rPr>
                  </w:pPr>
                  <w:r w:rsidRPr="00337EAF">
                    <w:rPr>
                      <w:rFonts w:ascii="Times New Roman" w:hAnsi="Times New Roman"/>
                      <w:color w:val="auto"/>
                      <w:sz w:val="28"/>
                    </w:rPr>
                    <w:t>от</w:t>
                  </w:r>
                </w:p>
              </w:tc>
              <w:tc>
                <w:tcPr>
                  <w:tcW w:w="191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:rsidR="000D3D60" w:rsidRPr="00337EAF" w:rsidRDefault="000D3D60" w:rsidP="000D3D60">
                  <w:pPr>
                    <w:widowControl w:val="0"/>
                    <w:ind w:left="8079" w:hanging="8079"/>
                    <w:rPr>
                      <w:rFonts w:ascii="Times New Roman" w:hAnsi="Times New Roman"/>
                      <w:color w:val="auto"/>
                      <w:sz w:val="28"/>
                    </w:rPr>
                  </w:pPr>
                  <w:r w:rsidRPr="00337EAF">
                    <w:rPr>
                      <w:rFonts w:ascii="Times New Roman" w:hAnsi="Times New Roman"/>
                      <w:color w:val="auto"/>
                      <w:sz w:val="28"/>
                    </w:rPr>
                    <w:t>19.12.2023</w:t>
                  </w:r>
                </w:p>
              </w:tc>
            </w:tr>
          </w:tbl>
          <w:p w:rsidR="00FB5382" w:rsidRPr="001B0599" w:rsidRDefault="00FB5382" w:rsidP="001B0599">
            <w:pPr>
              <w:rPr>
                <w:sz w:val="28"/>
                <w:highlight w:val="cyan"/>
              </w:rPr>
            </w:pPr>
          </w:p>
        </w:tc>
        <w:tc>
          <w:tcPr>
            <w:tcW w:w="567" w:type="dxa"/>
          </w:tcPr>
          <w:p w:rsidR="00FB5382" w:rsidRPr="001B0599" w:rsidRDefault="00FB5382" w:rsidP="001B0599">
            <w:pPr>
              <w:widowControl w:val="0"/>
              <w:ind w:left="8079" w:hanging="8079"/>
              <w:jc w:val="center"/>
              <w:rPr>
                <w:color w:val="auto"/>
                <w:sz w:val="28"/>
              </w:rPr>
            </w:pPr>
            <w:r w:rsidRPr="000D3D60">
              <w:rPr>
                <w:color w:val="auto"/>
                <w:sz w:val="28"/>
              </w:rPr>
              <w:t>№</w:t>
            </w:r>
          </w:p>
        </w:tc>
        <w:tc>
          <w:tcPr>
            <w:tcW w:w="1309" w:type="dxa"/>
          </w:tcPr>
          <w:p w:rsidR="001B0599" w:rsidRDefault="0065308F" w:rsidP="00740DEA">
            <w:pPr>
              <w:widowControl w:val="0"/>
              <w:ind w:left="8079" w:hanging="8079"/>
              <w:rPr>
                <w:color w:val="auto"/>
                <w:sz w:val="28"/>
              </w:rPr>
            </w:pPr>
            <w:r w:rsidRPr="000D3D60">
              <w:rPr>
                <w:color w:val="auto"/>
                <w:sz w:val="28"/>
              </w:rPr>
              <w:t>56</w:t>
            </w:r>
          </w:p>
          <w:p w:rsidR="00FB5382" w:rsidRPr="001B0599" w:rsidRDefault="00FB5382" w:rsidP="001B0599">
            <w:pPr>
              <w:rPr>
                <w:sz w:val="28"/>
              </w:rPr>
            </w:pPr>
          </w:p>
        </w:tc>
      </w:tr>
    </w:tbl>
    <w:p w:rsidR="00FB5382" w:rsidRPr="00337EAF" w:rsidRDefault="00FB5382" w:rsidP="00FB5382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6F3C47" w:rsidRDefault="006F3C47" w:rsidP="006F3C4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D0D16">
        <w:rPr>
          <w:rFonts w:ascii="Times New Roman" w:hAnsi="Times New Roman"/>
          <w:sz w:val="28"/>
        </w:rPr>
        <w:t xml:space="preserve">Предельные (максимальные) индексы </w:t>
      </w:r>
      <w:r>
        <w:rPr>
          <w:rFonts w:ascii="Times New Roman" w:hAnsi="Times New Roman"/>
          <w:sz w:val="28"/>
        </w:rPr>
        <w:br/>
      </w:r>
      <w:r w:rsidRPr="001D0D16">
        <w:rPr>
          <w:rFonts w:ascii="Times New Roman" w:hAnsi="Times New Roman"/>
          <w:sz w:val="28"/>
        </w:rPr>
        <w:t>изменения размера вносимой гражданами платы за коммунальные услуги в муниципа</w:t>
      </w:r>
      <w:r>
        <w:rPr>
          <w:rFonts w:ascii="Times New Roman" w:hAnsi="Times New Roman"/>
          <w:sz w:val="28"/>
        </w:rPr>
        <w:t>льных образованиях в Камчатском </w:t>
      </w:r>
      <w:r w:rsidRPr="001D0D16">
        <w:rPr>
          <w:rFonts w:ascii="Times New Roman" w:hAnsi="Times New Roman"/>
          <w:sz w:val="28"/>
        </w:rPr>
        <w:t>крае на 20</w:t>
      </w:r>
      <w:r>
        <w:rPr>
          <w:rFonts w:ascii="Times New Roman" w:hAnsi="Times New Roman"/>
          <w:sz w:val="28"/>
        </w:rPr>
        <w:t>24–2028 годы</w:t>
      </w:r>
    </w:p>
    <w:p w:rsidR="006F3C47" w:rsidRDefault="006F3C47" w:rsidP="006F3C4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2751"/>
        <w:gridCol w:w="2834"/>
        <w:gridCol w:w="3254"/>
      </w:tblGrid>
      <w:tr w:rsidR="0089180C" w:rsidRPr="0000535F" w:rsidTr="00740DEA">
        <w:trPr>
          <w:cantSplit/>
          <w:trHeight w:val="60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№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br/>
              <w:t>п/п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Муниципальное образование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br/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в Камчатском крае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Год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Предельные индексы, *, **, ***</w:t>
            </w:r>
          </w:p>
        </w:tc>
      </w:tr>
    </w:tbl>
    <w:p w:rsidR="0089180C" w:rsidRPr="005B3F08" w:rsidRDefault="0089180C" w:rsidP="0089180C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2751"/>
        <w:gridCol w:w="2825"/>
        <w:gridCol w:w="3264"/>
      </w:tblGrid>
      <w:tr w:rsidR="0089180C" w:rsidRPr="0000535F" w:rsidTr="00740DEA">
        <w:trPr>
          <w:cantSplit/>
          <w:trHeight w:val="88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3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4</w:t>
            </w:r>
          </w:p>
        </w:tc>
      </w:tr>
      <w:tr w:rsidR="0089180C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Петропавловск-Камчатский городской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 </w:t>
            </w:r>
          </w:p>
        </w:tc>
      </w:tr>
      <w:tr w:rsidR="0089180C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89180C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9,6</w:t>
            </w:r>
          </w:p>
        </w:tc>
      </w:tr>
      <w:tr w:rsidR="0089180C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89180C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89180C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0C" w:rsidRPr="0000535F" w:rsidRDefault="0089180C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16635D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2027–2028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Ипц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g-1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+L-∆+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тэр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суб</m:t>
                    </m:r>
                  </m:sup>
                </m:sSubSup>
              </m:oMath>
            </m:oMathPara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0D3D60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0D3D60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D3D60">
              <w:rPr>
                <w:rFonts w:ascii="Times New Roman" w:eastAsia="Calibri" w:hAnsi="Times New Roman"/>
                <w:szCs w:val="22"/>
                <w:lang w:eastAsia="en-US"/>
              </w:rPr>
              <w:t>Елизовский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542AD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D0" w:rsidRPr="00E73F10" w:rsidRDefault="00542AD0" w:rsidP="00542A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542AD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D0" w:rsidRPr="00E73F10" w:rsidRDefault="00542AD0" w:rsidP="00542A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542AD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D0" w:rsidRPr="0000535F" w:rsidRDefault="00542AD0" w:rsidP="00542A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AD0" w:rsidRPr="00E73F10" w:rsidRDefault="00D470E0" w:rsidP="00542A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542A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</w:t>
            </w:r>
            <w:r w:rsidR="00542AD0">
              <w:rPr>
                <w:rFonts w:ascii="Times New Roman" w:eastAsia="Calibri" w:hAnsi="Times New Roman"/>
                <w:szCs w:val="22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Ипц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g-1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+L-∆+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тэр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суб</m:t>
                    </m:r>
                  </m:sup>
                </m:sSubSup>
              </m:oMath>
            </m:oMathPara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3.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3B76B6">
              <w:rPr>
                <w:rFonts w:ascii="Times New Roman" w:eastAsia="Calibri" w:hAnsi="Times New Roman"/>
                <w:szCs w:val="22"/>
                <w:lang w:eastAsia="en-US"/>
              </w:rPr>
              <w:t>Мильковский</w:t>
            </w:r>
            <w:proofErr w:type="spellEnd"/>
            <w:r w:rsidRPr="003B76B6">
              <w:rPr>
                <w:rFonts w:ascii="Times New Roman" w:eastAsia="Calibri" w:hAnsi="Times New Roman"/>
                <w:szCs w:val="22"/>
                <w:lang w:eastAsia="en-US"/>
              </w:rPr>
              <w:t xml:space="preserve">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4.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Вилючинский городской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5.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B76B6">
              <w:rPr>
                <w:rFonts w:ascii="Times New Roman" w:eastAsia="Calibri" w:hAnsi="Times New Roman"/>
                <w:szCs w:val="22"/>
                <w:lang w:eastAsia="en-US"/>
              </w:rPr>
              <w:t>Усть-Большерецкий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Ипц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g-1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+L-∆+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тэр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суб</m:t>
                    </m:r>
                  </m:sup>
                </m:sSubSup>
              </m:oMath>
            </m:oMathPara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6.</w:t>
            </w:r>
          </w:p>
        </w:tc>
        <w:tc>
          <w:tcPr>
            <w:tcW w:w="4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Соболевский муниципальный район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6.1.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Крутогоровское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6.2.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Соболевское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6.3.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Устьевое сельское поселение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7.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B76B6">
              <w:rPr>
                <w:rFonts w:ascii="Times New Roman" w:eastAsia="Calibri" w:hAnsi="Times New Roman"/>
                <w:szCs w:val="22"/>
                <w:lang w:eastAsia="en-US"/>
              </w:rPr>
              <w:t>Усть-Камчатский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8.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643888">
              <w:rPr>
                <w:rFonts w:ascii="Times New Roman" w:eastAsia="Calibri" w:hAnsi="Times New Roman"/>
                <w:szCs w:val="22"/>
                <w:lang w:eastAsia="en-US"/>
              </w:rPr>
              <w:t>Быстринский</w:t>
            </w:r>
            <w:proofErr w:type="spellEnd"/>
            <w:r w:rsidRPr="00643888">
              <w:rPr>
                <w:rFonts w:ascii="Times New Roman" w:eastAsia="Calibri" w:hAnsi="Times New Roman"/>
                <w:szCs w:val="22"/>
                <w:lang w:eastAsia="en-US"/>
              </w:rPr>
              <w:t xml:space="preserve">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E3DAB">
              <w:rPr>
                <w:rFonts w:ascii="Times New Roman" w:hAnsi="Times New Roman"/>
                <w:szCs w:val="22"/>
              </w:rPr>
              <w:t>Алеутский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10.</w:t>
            </w:r>
          </w:p>
        </w:tc>
        <w:tc>
          <w:tcPr>
            <w:tcW w:w="4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Пенжинский</w:t>
            </w:r>
            <w:proofErr w:type="spellEnd"/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 xml:space="preserve"> муниципальный район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10.1.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Аянка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5D5955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9,9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10.2.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Сельское поселение «село Каменское»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10.3.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Сельское поселение «село Манилы»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3614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00535F" w:rsidRDefault="00136142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142" w:rsidRPr="00E73F10" w:rsidRDefault="005D5955" w:rsidP="001361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10.4.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Слаутное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5D5955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10.5.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Сельское поселение «село Таловка»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11,9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5D5955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11.</w:t>
            </w:r>
          </w:p>
        </w:tc>
        <w:tc>
          <w:tcPr>
            <w:tcW w:w="4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Карагинский</w:t>
            </w:r>
            <w:proofErr w:type="spellEnd"/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 xml:space="preserve"> муниципальный район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11.1.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Городское поселение «поселок Оссора»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5D5955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11.2.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Сельское поселение «село Ивашка»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5D5955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11.3.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 xml:space="preserve">ьское поселение «село </w:t>
            </w:r>
            <w:proofErr w:type="spellStart"/>
            <w:r>
              <w:rPr>
                <w:rFonts w:ascii="Times New Roman" w:eastAsia="Calibri" w:hAnsi="Times New Roman"/>
                <w:szCs w:val="22"/>
                <w:lang w:eastAsia="en-US"/>
              </w:rPr>
              <w:t>Ильпырское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11,9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F83B80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00535F" w:rsidRDefault="00F83B80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80" w:rsidRPr="00E73F10" w:rsidRDefault="005D5955" w:rsidP="00F83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11.4.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Карага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5D5955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11.5.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Тымлат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5D5955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11.6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Межселенные территории, входящие в состав территории Карагинского муниципального района, кроме территорий городского и сельских поселений, включая территорию упраздненного сельского поселения село Кострома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11,9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5D5955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</w:t>
            </w:r>
          </w:p>
        </w:tc>
        <w:tc>
          <w:tcPr>
            <w:tcW w:w="45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Олюторский муниципальный район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12.1.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Сельское поселение «село Апука»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5D5955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12.2.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Ачайваям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1C0F62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00535F" w:rsidRDefault="001C0F62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62" w:rsidRPr="00E73F10" w:rsidRDefault="005D5955" w:rsidP="001C0F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12.3.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Вывенка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5D5955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12.4.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Средние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Пахачи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11,9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5D5955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12.5.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Сельское поселение «село Тиличики»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5D5955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12.6.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Пахачи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6A2A3B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00535F" w:rsidRDefault="006A2A3B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3B" w:rsidRPr="00E73F10" w:rsidRDefault="005D5955" w:rsidP="006A2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12.7.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Сельское поселение «село </w:t>
            </w:r>
            <w:proofErr w:type="spellStart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Хаилино</w:t>
            </w:r>
            <w:proofErr w:type="spellEnd"/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11,9</w:t>
            </w: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5D5955" w:rsidP="00CF5E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13.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Городской округ «поселок Палана»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11,9</w:t>
            </w: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5D5955" w:rsidP="00CF5E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cantSplit/>
          <w:trHeight w:val="300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14.</w:t>
            </w:r>
          </w:p>
        </w:tc>
        <w:tc>
          <w:tcPr>
            <w:tcW w:w="1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1406D">
              <w:rPr>
                <w:rFonts w:ascii="Times New Roman" w:eastAsia="Calibri" w:hAnsi="Times New Roman"/>
                <w:szCs w:val="22"/>
                <w:lang w:eastAsia="en-US"/>
              </w:rPr>
              <w:t>Тигильский муниципальный округ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hAnsi="Times New Roman"/>
                <w:szCs w:val="22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9,6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января по 30 июня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0,0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>с 1 июля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DEA" w:rsidRPr="00E73F10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14,0</w:t>
            </w: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2026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января по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30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сентября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E73F10">
              <w:rPr>
                <w:rFonts w:ascii="Times New Roman" w:eastAsia="Calibri" w:hAnsi="Times New Roman"/>
                <w:szCs w:val="22"/>
                <w:lang w:eastAsia="en-US"/>
              </w:rPr>
              <w:t>1,7</w:t>
            </w:r>
          </w:p>
        </w:tc>
      </w:tr>
      <w:tr w:rsidR="00CF5E0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00535F" w:rsidRDefault="00CF5E0A" w:rsidP="00CF5E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с 1 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октября</w:t>
            </w:r>
            <w:r w:rsidRPr="0000535F">
              <w:rPr>
                <w:rFonts w:ascii="Times New Roman" w:eastAsia="Calibri" w:hAnsi="Times New Roman"/>
                <w:szCs w:val="22"/>
                <w:lang w:eastAsia="en-US"/>
              </w:rPr>
              <w:t xml:space="preserve"> по 31 декабря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E0A" w:rsidRPr="00E73F10" w:rsidRDefault="005D5955" w:rsidP="00CF5E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73F10">
              <w:rPr>
                <w:rFonts w:ascii="Times New Roman" w:hAnsi="Times New Roman"/>
                <w:szCs w:val="22"/>
              </w:rPr>
              <w:t>12,0</w:t>
            </w:r>
          </w:p>
        </w:tc>
      </w:tr>
      <w:tr w:rsidR="00740DEA" w:rsidRPr="0000535F" w:rsidTr="00740DEA">
        <w:trPr>
          <w:trHeight w:val="300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00535F" w:rsidRDefault="00740DEA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2026–2028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EA" w:rsidRPr="00E73F10" w:rsidRDefault="00352591" w:rsidP="00740D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+L-∆+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тэр</m:t>
                  </m:r>
                </m:sub>
                <m:sup>
                  <m:r>
                    <w:rPr>
                      <w:rFonts w:ascii="Cambria Math" w:hAnsi="Cambria Math"/>
                      <w:szCs w:val="22"/>
                    </w:rPr>
                    <m:t>суб</m:t>
                  </m:r>
                </m:sup>
              </m:sSubSup>
            </m:oMath>
            <w:r w:rsidR="00740DEA" w:rsidRPr="00E73F10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:rsidR="0089180C" w:rsidRDefault="0089180C" w:rsidP="0089180C">
      <w:pPr>
        <w:widowControl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89180C" w:rsidRPr="00E31BF1" w:rsidRDefault="0089180C" w:rsidP="0089180C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  <w:r w:rsidRPr="00E31BF1">
        <w:rPr>
          <w:rFonts w:ascii="Times New Roman" w:eastAsia="Calibri" w:hAnsi="Times New Roman"/>
          <w:sz w:val="24"/>
          <w:lang w:eastAsia="en-US"/>
        </w:rPr>
        <w:t xml:space="preserve">* </w:t>
      </w: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Изменение (прирост) размера вносимой гражданами платы за коммунальные услуги в среднем по всем муниципальным образованиям в Камчатском крае не может превышать индекс изменения размера вносимой гражданами платы за коммунальные услуги в среднем </w:t>
      </w:r>
      <w:r w:rsidRPr="00E31BF1">
        <w:rPr>
          <w:rFonts w:ascii="Times New Roman" w:eastAsia="Calibri" w:hAnsi="Times New Roman"/>
          <w:sz w:val="24"/>
          <w:lang w:eastAsia="en-US"/>
        </w:rPr>
        <w:t>по Камчатском</w:t>
      </w:r>
      <w:r>
        <w:rPr>
          <w:rFonts w:ascii="Times New Roman" w:eastAsia="Calibri" w:hAnsi="Times New Roman"/>
          <w:sz w:val="24"/>
          <w:lang w:eastAsia="en-US"/>
        </w:rPr>
        <w:t>у краю.</w:t>
      </w:r>
    </w:p>
    <w:p w:rsidR="0089180C" w:rsidRPr="00E31BF1" w:rsidRDefault="0089180C" w:rsidP="00891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2"/>
          <w:lang w:eastAsia="en-US"/>
        </w:rPr>
      </w:pPr>
      <w:r w:rsidRPr="00E31BF1">
        <w:rPr>
          <w:rFonts w:ascii="Times New Roman" w:eastAsia="Calibri" w:hAnsi="Times New Roman"/>
          <w:sz w:val="24"/>
          <w:lang w:eastAsia="en-US"/>
        </w:rPr>
        <w:t xml:space="preserve">** Предельные (максимальные) индексы изменения размера вносимой гражданами платы за коммунальные услуги в муниципальных образованиях в Камчатском крае не могут превышать индекс изменения размера вносимой гражданами платы за коммунальные услуги в среднем по Камчатскому краю более чем на величину предельно допустимого отклонения по отдельным муниципальным образованиям в Камчатском крае от величины среднего индекса изменения размера вносимой гражданами платы за коммунальные услуги по Камчатскому краю, за исключением случаев, предусмотренных разделом </w:t>
      </w:r>
      <w:r w:rsidRPr="00E31BF1">
        <w:rPr>
          <w:rFonts w:ascii="Times New Roman" w:eastAsia="Calibri" w:hAnsi="Times New Roman"/>
          <w:sz w:val="24"/>
          <w:lang w:val="en-US" w:eastAsia="en-US"/>
        </w:rPr>
        <w:t>IV</w:t>
      </w:r>
      <w:r w:rsidRPr="00E31BF1">
        <w:rPr>
          <w:rFonts w:ascii="Times New Roman" w:eastAsia="Calibri" w:hAnsi="Times New Roman"/>
          <w:sz w:val="24"/>
          <w:lang w:eastAsia="en-US"/>
        </w:rPr>
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 400 «</w:t>
      </w:r>
      <w:r>
        <w:rPr>
          <w:rFonts w:ascii="Times New Roman" w:hAnsi="Times New Roman"/>
          <w:sz w:val="24"/>
        </w:rPr>
        <w:t>О </w:t>
      </w:r>
      <w:r w:rsidRPr="00E31BF1">
        <w:rPr>
          <w:rFonts w:ascii="Times New Roman" w:hAnsi="Times New Roman"/>
          <w:sz w:val="24"/>
        </w:rPr>
        <w:t>формировании индексов изменения размера платы граждан за коммунальные</w:t>
      </w:r>
      <w:r>
        <w:rPr>
          <w:rFonts w:ascii="Times New Roman" w:hAnsi="Times New Roman"/>
          <w:sz w:val="24"/>
        </w:rPr>
        <w:t xml:space="preserve"> услуги в Российской Федерации».</w:t>
      </w:r>
    </w:p>
    <w:p w:rsidR="0089180C" w:rsidRPr="00E31BF1" w:rsidRDefault="0089180C" w:rsidP="0089180C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Calibri" w:hAnsi="Times New Roman"/>
          <w:sz w:val="24"/>
          <w:szCs w:val="22"/>
          <w:lang w:eastAsia="en-US"/>
        </w:rPr>
        <w:t xml:space="preserve">*** </w:t>
      </w:r>
      <w:r>
        <w:rPr>
          <w:rFonts w:ascii="Times New Roman" w:eastAsia="Arial Unicode MS" w:hAnsi="Times New Roman"/>
          <w:sz w:val="24"/>
          <w:u w:color="000000"/>
          <w:lang w:eastAsia="en-US"/>
        </w:rPr>
        <w:t>Предельные индексы на 2024–</w:t>
      </w: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>2028 годы устанавливаются в процентном выражении.</w:t>
      </w:r>
    </w:p>
    <w:p w:rsidR="0089180C" w:rsidRDefault="0089180C" w:rsidP="0089180C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</w:t>
      </w:r>
    </w:p>
    <w:p w:rsidR="0089180C" w:rsidRPr="00E31BF1" w:rsidRDefault="0089180C" w:rsidP="0089180C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</w:p>
    <w:p w:rsidR="0089180C" w:rsidRPr="00E31BF1" w:rsidRDefault="0089180C" w:rsidP="0089180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>Примечания:</w:t>
      </w:r>
    </w:p>
    <w:p w:rsidR="0089180C" w:rsidRPr="00E31BF1" w:rsidRDefault="0089180C" w:rsidP="0089180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1.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bPr>
          <m:e>
            <m:r>
              <w:rPr>
                <w:rFonts w:ascii="Cambria Math" w:hAnsi="Cambria Math"/>
                <w:sz w:val="24"/>
                <w:szCs w:val="22"/>
              </w:rPr>
              <m:t>Ипц</m:t>
            </m:r>
          </m:e>
          <m:sub>
            <m:r>
              <w:rPr>
                <w:rFonts w:ascii="Cambria Math" w:hAnsi="Cambria Math"/>
                <w:sz w:val="24"/>
                <w:szCs w:val="22"/>
                <w:lang w:val="en-US"/>
              </w:rPr>
              <m:t>g</m:t>
            </m:r>
            <m:r>
              <w:rPr>
                <w:rFonts w:ascii="Cambria Math" w:hAnsi="Cambria Math"/>
                <w:sz w:val="24"/>
                <w:szCs w:val="22"/>
              </w:rPr>
              <m:t>-1</m:t>
            </m:r>
          </m:sub>
        </m:sSub>
      </m:oMath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– индекс потребительских цен (декабрь к декабрю) согласно прогнозу социально-экономического развития Российской Федерации на год, предшествующий g-му году, на который рассчитываются индексы изменения размера вносимой гражданами платы за коммунальные услуги в среднем по субъект</w:t>
      </w:r>
      <w:r>
        <w:rPr>
          <w:rFonts w:ascii="Times New Roman" w:eastAsia="Arial Unicode MS" w:hAnsi="Times New Roman"/>
          <w:sz w:val="24"/>
          <w:u w:color="000000"/>
          <w:lang w:eastAsia="en-US"/>
        </w:rPr>
        <w:t>ам Российской Федерации (далее –</w:t>
      </w: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индексы по субъектам Российской Федерации) (по итогам 9 месяцев) (процентов).</w:t>
      </w:r>
    </w:p>
    <w:p w:rsidR="0089180C" w:rsidRPr="00E31BF1" w:rsidRDefault="0089180C" w:rsidP="0089180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2.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bPr>
          <m:e>
            <m:r>
              <w:rPr>
                <w:rFonts w:ascii="Cambria Math" w:hAnsi="Cambria Math"/>
                <w:sz w:val="24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2"/>
              </w:rPr>
              <m:t>g</m:t>
            </m:r>
          </m:sub>
        </m:sSub>
      </m:oMath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– понижающий (повышающий) коэффициент на соответствующий год долгосрочного периода, определяемый с учетом прогноза социально-экономического развития Российской Федерации.</w:t>
      </w:r>
    </w:p>
    <w:p w:rsidR="0089180C" w:rsidRPr="00E31BF1" w:rsidRDefault="0089180C" w:rsidP="0089180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3. </w:t>
      </w:r>
      <m:oMath>
        <m:r>
          <w:rPr>
            <w:rFonts w:ascii="Cambria Math" w:hAnsi="Cambria Math"/>
            <w:sz w:val="24"/>
            <w:szCs w:val="22"/>
          </w:rPr>
          <m:t>L</m:t>
        </m:r>
      </m:oMath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– показатель изменения, определяемый единовременно в первый год долгосрочного периода с учетом региональных особенностей субъектов Российской Федерации, структуры полезного отпуска коммунальных ресурсов, необходимости возмещения экономически обоснованных расходов регулируемым организациям в порядке, установленном законодательством Российской Федерации, мер дополнительной социальной поддержки граждан,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(максимальных) индексов изменения размера вносимой гражданами платы за коммунальные услуги в муниципальных образованиях.</w:t>
      </w:r>
    </w:p>
    <w:p w:rsidR="0089180C" w:rsidRPr="00E31BF1" w:rsidRDefault="0089180C" w:rsidP="0089180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4. </w:t>
      </w:r>
      <m:oMath>
        <m:r>
          <w:rPr>
            <w:rFonts w:ascii="Cambria Math" w:hAnsi="Cambria Math"/>
            <w:sz w:val="24"/>
            <w:szCs w:val="22"/>
          </w:rPr>
          <m:t>∆</m:t>
        </m:r>
      </m:oMath>
      <w:r>
        <w:rPr>
          <w:rFonts w:ascii="Times New Roman" w:eastAsia="Arial Unicode MS" w:hAnsi="Times New Roman"/>
          <w:sz w:val="24"/>
          <w:u w:color="000000"/>
          <w:lang w:eastAsia="en-US"/>
        </w:rPr>
        <w:t xml:space="preserve">  – величина превышения</w:t>
      </w: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фактического роста платы граждан за коммунальные услуги в среднем по субъекту Российской Федерации над установленным индексом по субъекту Российской Федерации.</w:t>
      </w:r>
    </w:p>
    <w:p w:rsidR="0089180C" w:rsidRDefault="0089180C" w:rsidP="0089180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u w:color="000000"/>
          <w:lang w:eastAsia="en-US"/>
        </w:rPr>
      </w:pPr>
      <w:r>
        <w:rPr>
          <w:rFonts w:ascii="Times New Roman" w:eastAsia="Arial Unicode MS" w:hAnsi="Times New Roman"/>
          <w:sz w:val="24"/>
          <w:u w:color="000000"/>
          <w:lang w:eastAsia="en-US"/>
        </w:rPr>
        <w:t>5</w:t>
      </w: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.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bSupPr>
          <m:e>
            <m:r>
              <w:rPr>
                <w:rFonts w:ascii="Cambria Math" w:hAnsi="Cambria Math"/>
                <w:sz w:val="24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2"/>
              </w:rPr>
              <m:t>тэр</m:t>
            </m:r>
          </m:sub>
          <m:sup>
            <m:r>
              <w:rPr>
                <w:rFonts w:ascii="Cambria Math" w:hAnsi="Cambria Math"/>
                <w:sz w:val="24"/>
                <w:szCs w:val="22"/>
              </w:rPr>
              <m:t>суб</m:t>
            </m:r>
          </m:sup>
        </m:sSubSup>
      </m:oMath>
      <w:r w:rsidRPr="00E31BF1">
        <w:rPr>
          <w:rFonts w:ascii="Times New Roman" w:hAnsi="Times New Roman"/>
          <w:sz w:val="24"/>
          <w:szCs w:val="22"/>
        </w:rPr>
        <w:t>  –</w:t>
      </w:r>
      <w:r w:rsidRPr="00E31BF1">
        <w:rPr>
          <w:rFonts w:ascii="Times New Roman" w:eastAsia="Arial Unicode MS" w:hAnsi="Times New Roman"/>
          <w:sz w:val="24"/>
          <w:u w:color="000000"/>
          <w:lang w:eastAsia="en-US"/>
        </w:rPr>
        <w:t xml:space="preserve"> коэффициент, учитывающий изменение стоимости энергоресурсов, используемых при производстве и (или) предоставлении коммунальных услуг в году, предшествующем периоду, на который рассчитываются индексы по субъектам Российской Федерации.</w:t>
      </w:r>
      <w:r w:rsidR="00352591">
        <w:rPr>
          <w:rFonts w:ascii="Times New Roman" w:eastAsia="Arial Unicode MS" w:hAnsi="Times New Roman"/>
          <w:sz w:val="24"/>
          <w:u w:color="000000"/>
          <w:lang w:eastAsia="en-US"/>
        </w:rPr>
        <w:t>».</w:t>
      </w:r>
    </w:p>
    <w:p w:rsidR="000559F1" w:rsidRPr="00352591" w:rsidRDefault="0089180C">
      <w:pPr>
        <w:sectPr w:rsidR="000559F1" w:rsidRPr="00352591" w:rsidSect="00E95CE2">
          <w:headerReference w:type="default" r:id="rId8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  <w:r>
        <w:br w:type="page"/>
      </w: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7A3ABE" w:rsidTr="004B71A1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bookmarkStart w:id="2" w:name="_GoBack"/>
            <w:bookmarkEnd w:id="2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1A1A0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1A1A01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к постановлению</w:t>
            </w:r>
          </w:p>
        </w:tc>
      </w:tr>
      <w:tr w:rsidR="007A3ABE" w:rsidTr="004B71A1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3ABE" w:rsidRDefault="007A3ABE" w:rsidP="004B71A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7A3ABE" w:rsidRPr="00337EAF" w:rsidTr="004B71A1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Default="007A3ABE" w:rsidP="004B71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Default="007A3ABE" w:rsidP="004B71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Default="007A3ABE" w:rsidP="004B71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Default="007A3ABE" w:rsidP="004B71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Pr="00337EAF" w:rsidRDefault="007A3ABE" w:rsidP="004B71A1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337EAF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Pr="00337EAF" w:rsidRDefault="007A3ABE" w:rsidP="004B71A1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Pr="00337EAF" w:rsidRDefault="007A3ABE" w:rsidP="004B71A1">
            <w:pPr>
              <w:widowControl w:val="0"/>
              <w:ind w:left="8079" w:hanging="807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37EAF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A3ABE" w:rsidRPr="00337EAF" w:rsidRDefault="007A3ABE" w:rsidP="004B71A1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</w:p>
        </w:tc>
      </w:tr>
    </w:tbl>
    <w:p w:rsidR="00D470E0" w:rsidRDefault="00D470E0" w:rsidP="007A3ABE">
      <w:pPr>
        <w:tabs>
          <w:tab w:val="left" w:pos="54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D470E0" w:rsidTr="00D470E0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70E0" w:rsidRDefault="004B2CD4" w:rsidP="00D470E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D470E0">
              <w:rPr>
                <w:rFonts w:ascii="Times New Roman" w:hAnsi="Times New Roman"/>
                <w:sz w:val="28"/>
              </w:rPr>
              <w:t>Приложение 4 к постановлению</w:t>
            </w:r>
          </w:p>
        </w:tc>
      </w:tr>
      <w:tr w:rsidR="00D470E0" w:rsidTr="00D470E0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70E0" w:rsidRDefault="00D470E0" w:rsidP="00D470E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D470E0" w:rsidTr="00D470E0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Default="00D470E0" w:rsidP="00D470E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Default="00D470E0" w:rsidP="00D470E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Default="00D470E0" w:rsidP="00D470E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Default="00D470E0" w:rsidP="00D470E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Pr="00337EAF" w:rsidRDefault="00D470E0" w:rsidP="00D470E0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337EAF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Pr="00337EAF" w:rsidRDefault="007A3ABE" w:rsidP="00D470E0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 w:rsidRPr="00337EAF">
              <w:rPr>
                <w:rFonts w:ascii="Times New Roman" w:hAnsi="Times New Roman"/>
                <w:color w:val="auto"/>
                <w:sz w:val="28"/>
              </w:rPr>
              <w:t>19.12.2023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Pr="00337EAF" w:rsidRDefault="00D470E0" w:rsidP="00D470E0">
            <w:pPr>
              <w:widowControl w:val="0"/>
              <w:ind w:left="8079" w:hanging="8079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337EAF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470E0" w:rsidRPr="00337EAF" w:rsidRDefault="007A3ABE" w:rsidP="00D470E0">
            <w:pPr>
              <w:widowControl w:val="0"/>
              <w:ind w:left="8079" w:hanging="8079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56</w:t>
            </w:r>
          </w:p>
        </w:tc>
      </w:tr>
    </w:tbl>
    <w:p w:rsidR="00D470E0" w:rsidRDefault="00D470E0" w:rsidP="00D470E0">
      <w:pPr>
        <w:rPr>
          <w:rFonts w:ascii="Times New Roman" w:hAnsi="Times New Roman"/>
          <w:sz w:val="24"/>
        </w:rPr>
      </w:pPr>
    </w:p>
    <w:p w:rsidR="00D470E0" w:rsidRDefault="00D470E0" w:rsidP="00D470E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Обоснование </w:t>
      </w:r>
      <w:r>
        <w:rPr>
          <w:rFonts w:ascii="Times New Roman" w:hAnsi="Times New Roman"/>
          <w:sz w:val="28"/>
        </w:rPr>
        <w:br/>
      </w:r>
      <w:r w:rsidRPr="00CD767F">
        <w:rPr>
          <w:rFonts w:ascii="Times New Roman" w:hAnsi="Times New Roman"/>
          <w:sz w:val="28"/>
        </w:rPr>
        <w:t>величины установленных предельных (максимальн</w:t>
      </w:r>
      <w:r>
        <w:rPr>
          <w:rFonts w:ascii="Times New Roman" w:hAnsi="Times New Roman"/>
          <w:sz w:val="28"/>
        </w:rPr>
        <w:t xml:space="preserve">ых) индексов изменения размера </w:t>
      </w:r>
      <w:r w:rsidRPr="00CD767F">
        <w:rPr>
          <w:rFonts w:ascii="Times New Roman" w:hAnsi="Times New Roman"/>
          <w:sz w:val="28"/>
        </w:rPr>
        <w:t xml:space="preserve">вносимой гражданами платы </w:t>
      </w:r>
      <w:r>
        <w:rPr>
          <w:rFonts w:ascii="Times New Roman" w:hAnsi="Times New Roman"/>
          <w:sz w:val="28"/>
        </w:rPr>
        <w:br/>
      </w:r>
      <w:r w:rsidRPr="00CD767F">
        <w:rPr>
          <w:rFonts w:ascii="Times New Roman" w:hAnsi="Times New Roman"/>
          <w:sz w:val="28"/>
        </w:rPr>
        <w:t>за коммунальные услуги в муниципальных образованиях в Камчатском крае на 20</w:t>
      </w:r>
      <w:r>
        <w:rPr>
          <w:rFonts w:ascii="Times New Roman" w:hAnsi="Times New Roman"/>
          <w:sz w:val="28"/>
        </w:rPr>
        <w:t>26</w:t>
      </w:r>
      <w:r w:rsidRPr="00CD767F">
        <w:rPr>
          <w:rFonts w:ascii="Times New Roman" w:hAnsi="Times New Roman"/>
          <w:sz w:val="28"/>
        </w:rPr>
        <w:t xml:space="preserve"> год</w:t>
      </w:r>
    </w:p>
    <w:p w:rsidR="00D470E0" w:rsidRDefault="00D470E0" w:rsidP="00D470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970"/>
        <w:gridCol w:w="10894"/>
      </w:tblGrid>
      <w:tr w:rsidR="00D470E0" w:rsidRPr="00A31233" w:rsidTr="00D470E0">
        <w:tc>
          <w:tcPr>
            <w:tcW w:w="239" w:type="pct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20" w:type="pct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Муниципальное образование 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Камчатском крае</w:t>
            </w:r>
          </w:p>
        </w:tc>
        <w:tc>
          <w:tcPr>
            <w:tcW w:w="3741" w:type="pct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Обоснование величины установленных предельных (максимальных) индексов изменения размера 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вносимой гражданами платы за коммунальные услуги в муниципальных образованиях в Камчатском крае</w:t>
            </w:r>
          </w:p>
        </w:tc>
      </w:tr>
    </w:tbl>
    <w:p w:rsidR="00D470E0" w:rsidRPr="005B3F08" w:rsidRDefault="00D470E0" w:rsidP="00D470E0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955"/>
        <w:gridCol w:w="15"/>
        <w:gridCol w:w="10894"/>
      </w:tblGrid>
      <w:tr w:rsidR="00D470E0" w:rsidRPr="00A31233" w:rsidTr="00D470E0">
        <w:trPr>
          <w:tblHeader/>
        </w:trPr>
        <w:tc>
          <w:tcPr>
            <w:tcW w:w="239" w:type="pct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0" w:type="pct"/>
            <w:gridSpan w:val="2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41" w:type="pct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470E0" w:rsidRPr="00A31233" w:rsidTr="00D470E0">
        <w:trPr>
          <w:trHeight w:val="2862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Петропавловск-Камчатский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городской округ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водоотведение, обращение с твердыми коммунальными отходами.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с 1 января 2026 года к декабрю 2025 года в среднем составит не выше 1,7%, с 1 октября 2026 года к январю 2026 года в среднем составит не выше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12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%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(утвержденный Правительством Российской Федерации средний индекс по субъекту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9,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9% и предельно допустимое отклонение 2,1%)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в связи с поэтапным доведением уровня оплаты коммунальных услуг до 100% от установленных экономически обоснованных тарифов (льготные тарифы на электроэнергию, отопление).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10,5 тыс. человек (для населения, проживающего в одно, 2-х этажных жилых домах).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5,8% и в общей численности населения Камчатского края 3,3%.</w:t>
            </w:r>
          </w:p>
        </w:tc>
      </w:tr>
      <w:tr w:rsidR="00D470E0" w:rsidRPr="00A31233" w:rsidTr="00D470E0">
        <w:trPr>
          <w:trHeight w:val="27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A558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A55837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583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Елизовский муниципальный округ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водоотведение, обращение с твердыми коммунальными отходами.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8,7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22,2% и в общей численности населения Камчатского края 2,8%.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C57E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0" w:type="pct"/>
            <w:gridSpan w:val="2"/>
            <w:shd w:val="clear" w:color="auto" w:fill="auto"/>
            <w:vAlign w:val="center"/>
          </w:tcPr>
          <w:p w:rsidR="00D470E0" w:rsidRPr="00A31233" w:rsidRDefault="00C57E82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Мильковский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 </w:t>
            </w:r>
          </w:p>
        </w:tc>
        <w:tc>
          <w:tcPr>
            <w:tcW w:w="3741" w:type="pct"/>
            <w:tcBorders>
              <w:bottom w:val="nil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1,0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88,7% и в общей численности населения Камчатского края 0,3%.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Вилючинский городской округ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водоотведение, обращение с твердыми коммунальными отходами.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0,9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4,1% и в общей численности населения Камчатского края 0,3%.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C57E82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C57E82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4F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Усть-Большерецкий муниципальный округ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водоснабжение, водоотведение.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1,5 тыс. человек (для населения, проживающего в жилых домах с </w:t>
            </w:r>
            <w:proofErr w:type="spellStart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электроотоплением</w:t>
            </w:r>
            <w:proofErr w:type="spellEnd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электроподогревом</w:t>
            </w:r>
            <w:proofErr w:type="spellEnd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воды).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97,0% и в общей численности населения Камчатского края 0,5%.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Соболевский муниципальный район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Крутогоровское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0,3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81,1%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Соболевское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газоснабжение.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1,6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97,0% и в общей численности населения Камчатского края 0,5%.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Устьевое сельское 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поселение</w:t>
            </w: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0,3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79,6%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4F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Усть-Камчатский муниципальный округ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0,8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20,1% и в общей численности населения Камчатского края 0,3%.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94F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Быстринский</w:t>
            </w:r>
            <w:proofErr w:type="spellEnd"/>
            <w:r w:rsidRPr="00A94F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водоотведение, обращение с твердыми коммунальными отходами.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воду, водоотведение).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0,8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41,9% и в общей численности населения Камчатского края 0,3%.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6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Алеутский муниципальный округ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0,7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97,5% и в общей численности населения Камчатского края 0,2%.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76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Пенжинский</w:t>
            </w:r>
            <w:proofErr w:type="spellEnd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Аянка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0,3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91,6%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Каменское»</w:t>
            </w: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)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0,5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88,3% и в общей численности населения Камчатского края 0,2%.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10.3.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Манилы»</w:t>
            </w: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с  </w:t>
            </w:r>
            <w:proofErr w:type="spellStart"/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</w:t>
            </w:r>
            <w:proofErr w:type="spellEnd"/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0,7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97,0% и в общей численности населения Камчатского края 0,2%.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10.4.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Слаутное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0,2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87,0%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10.5.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Таловка»</w:t>
            </w:r>
          </w:p>
        </w:tc>
        <w:tc>
          <w:tcPr>
            <w:tcW w:w="3741" w:type="pct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0,2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92,2%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</w:tcBorders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76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Карагинский</w:t>
            </w:r>
            <w:proofErr w:type="spellEnd"/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</w:tr>
      <w:tr w:rsidR="00D470E0" w:rsidRPr="00A31233" w:rsidTr="00D470E0">
        <w:trPr>
          <w:trHeight w:val="20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«поселок Оссора»</w:t>
            </w:r>
          </w:p>
        </w:tc>
        <w:tc>
          <w:tcPr>
            <w:tcW w:w="3746" w:type="pct"/>
            <w:gridSpan w:val="2"/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воду, водоотведение).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1,8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90,3% и в общей численности населения Камчатского края 0,6%.</w:t>
            </w:r>
          </w:p>
        </w:tc>
      </w:tr>
      <w:tr w:rsidR="00D470E0" w:rsidRPr="00A31233" w:rsidTr="00D470E0">
        <w:trPr>
          <w:trHeight w:val="20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2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Ивашка»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0,03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91,7% и в общей численности населения Камчатского края 0,2%.</w:t>
            </w:r>
          </w:p>
        </w:tc>
      </w:tr>
      <w:tr w:rsidR="00D470E0" w:rsidRPr="00A31233" w:rsidTr="00D470E0">
        <w:trPr>
          <w:trHeight w:val="556"/>
        </w:trPr>
        <w:tc>
          <w:tcPr>
            <w:tcW w:w="2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Ильпырский»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прогнозный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электроэнергию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0,1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84,9% и в общей численности населения Камчатского края 0,03%.</w:t>
            </w:r>
          </w:p>
        </w:tc>
      </w:tr>
      <w:tr w:rsidR="00D470E0" w:rsidRPr="00A31233" w:rsidTr="00D470E0">
        <w:trPr>
          <w:trHeight w:val="2796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Карага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прогнозный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0,2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78,4%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Межселенные территории, входящие в состав территории Карагинского муниципального района, кроме территорий городского и сельских поселений, включая территорию упраздненного сельского поселения село Кострома</w:t>
            </w: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прогнозный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0,07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100,0% и в общей численности населения Камчатского края 0,02%.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11.6.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Тымлат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с учетом изменения нормативов потребления коммунальных услуг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0,6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93,2% и в общей численности населения Камчатского края 0,2%.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shd w:val="clear" w:color="auto" w:fill="auto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76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Олюторский муниципальный район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12.1.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Апука»</w:t>
            </w: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0,2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85,5% и в общей численности населения Камчатского края 0,06%.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12.2.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Ачайваям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с учетом изменения нормативов потребления коммунальных услуг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0,4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89,5%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Вывенка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электроэнергию).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0,4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89,7%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4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Средние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Пахачи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электроэнергию).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0,3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88,8%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126"/>
        </w:trPr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5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«село Тиличики»</w:t>
            </w: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1,1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84,0% и в общей численности населения Камчатского края 0,4%.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Пахачи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воду, водоотведение).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0,6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92,0% и в общей численности населения Камчатского края 0,2%.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12.7.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«село </w:t>
            </w:r>
            <w:proofErr w:type="spellStart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Хаилино</w:t>
            </w:r>
            <w:proofErr w:type="spellEnd"/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водоснабжение.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A55837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0,3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83,3% и в общей численности населения Камчатского края 0,1%.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D470E0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«поселок Палана»</w:t>
            </w:r>
            <w:r w:rsidRPr="00A312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электроснабжение, теплоснабжение, горячее и холодное водоснабжение, водоотведение.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0970DA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 в связи с поэтапным доведением уровня оплаты коммунальных услуг до 100% от установленных экономически обоснованных тарифов (льготные тарифы на отопление, электроэнергию, питьевую воду, водоотведение).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2,5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85,6% и в общей численности населения Камчатского края 0,8%.</w:t>
            </w:r>
          </w:p>
        </w:tc>
      </w:tr>
      <w:tr w:rsidR="00D470E0" w:rsidRPr="00A31233" w:rsidTr="00D470E0">
        <w:trPr>
          <w:trHeight w:val="340"/>
        </w:trPr>
        <w:tc>
          <w:tcPr>
            <w:tcW w:w="2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0E0" w:rsidRPr="00A31233" w:rsidRDefault="000D567F" w:rsidP="00D470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4F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Тигильский муниципальный округ</w:t>
            </w:r>
          </w:p>
        </w:tc>
        <w:tc>
          <w:tcPr>
            <w:tcW w:w="37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Набор коммунальных услуг: электроснабжение. Рост платы граждан сформировался в целях реализации производственных программ организаций, оказывающих коммунальные услуги населению, согласно которым рост тарифов на коммунальные услуги для населения </w:t>
            </w:r>
            <w:r w:rsidR="00C57E82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1 января 2026 года к декабрю 2025 года в среднем составит не выше 1,7%, с 1 октября 2026 года к январю 2026 года в среднем составит не выше 12% (утвержденный Правительством Российской Федерации средний индекс по субъекту 9,9% и предельно допустимое отклонение 2,1%)</w:t>
            </w:r>
            <w:r w:rsidR="00B25713"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в связи с поэтапным доведением уровня оплаты коммунальных услуг до 100% от установленных экономически обоснованных тарифов (льготные тарифы на электроэнергию). </w:t>
            </w:r>
          </w:p>
          <w:p w:rsidR="00D470E0" w:rsidRPr="00C750D2" w:rsidRDefault="00D470E0" w:rsidP="00D470E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750D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Численность населения, изменение размера платы за коммунальные услуги в отношении которого равно установленному предельному (максимальному) индексу: 0,1 тыс. человек. Доля населения, изменение размера платы за коммунальные услуги в отношении которого равно установленному предельному (максимальному) индексу, в общей численности населения на территории муниципального образования 88,0% и в общей численности населения Камчатского края 0,03%.</w:t>
            </w:r>
          </w:p>
        </w:tc>
      </w:tr>
    </w:tbl>
    <w:p w:rsidR="004B2CD4" w:rsidRPr="004B2CD4" w:rsidRDefault="004B2CD4" w:rsidP="004B2CD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4B2CD4">
        <w:rPr>
          <w:rFonts w:ascii="Times New Roman" w:hAnsi="Times New Roman"/>
          <w:sz w:val="28"/>
          <w:szCs w:val="24"/>
        </w:rPr>
        <w:t>».</w:t>
      </w:r>
    </w:p>
    <w:p w:rsidR="00D470E0" w:rsidRPr="00A31233" w:rsidRDefault="00D470E0" w:rsidP="00CD76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470E0" w:rsidRPr="00A31233" w:rsidSect="00A31233">
      <w:pgSz w:w="16838" w:h="11906" w:orient="landscape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A1" w:rsidRDefault="004B71A1" w:rsidP="00E95CE2">
      <w:pPr>
        <w:spacing w:after="0" w:line="240" w:lineRule="auto"/>
      </w:pPr>
      <w:r>
        <w:separator/>
      </w:r>
    </w:p>
  </w:endnote>
  <w:endnote w:type="continuationSeparator" w:id="0">
    <w:p w:rsidR="004B71A1" w:rsidRDefault="004B71A1" w:rsidP="00E9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A1" w:rsidRDefault="004B71A1" w:rsidP="00E95CE2">
      <w:pPr>
        <w:spacing w:after="0" w:line="240" w:lineRule="auto"/>
      </w:pPr>
      <w:r>
        <w:separator/>
      </w:r>
    </w:p>
  </w:footnote>
  <w:footnote w:type="continuationSeparator" w:id="0">
    <w:p w:rsidR="004B71A1" w:rsidRDefault="004B71A1" w:rsidP="00E9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204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B71A1" w:rsidRPr="00E95CE2" w:rsidRDefault="004B71A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E95CE2">
          <w:rPr>
            <w:rFonts w:ascii="Times New Roman" w:hAnsi="Times New Roman"/>
            <w:sz w:val="28"/>
            <w:szCs w:val="28"/>
          </w:rPr>
          <w:fldChar w:fldCharType="begin"/>
        </w:r>
        <w:r w:rsidRPr="00E95CE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95CE2">
          <w:rPr>
            <w:rFonts w:ascii="Times New Roman" w:hAnsi="Times New Roman"/>
            <w:sz w:val="28"/>
            <w:szCs w:val="28"/>
          </w:rPr>
          <w:fldChar w:fldCharType="separate"/>
        </w:r>
        <w:r w:rsidR="00352591">
          <w:rPr>
            <w:rFonts w:ascii="Times New Roman" w:hAnsi="Times New Roman"/>
            <w:noProof/>
            <w:sz w:val="28"/>
            <w:szCs w:val="28"/>
          </w:rPr>
          <w:t>10</w:t>
        </w:r>
        <w:r w:rsidRPr="00E95CE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B71A1" w:rsidRDefault="004B71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C26"/>
    <w:multiLevelType w:val="hybridMultilevel"/>
    <w:tmpl w:val="33128848"/>
    <w:lvl w:ilvl="0" w:tplc="7688E2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152FCB"/>
    <w:multiLevelType w:val="hybridMultilevel"/>
    <w:tmpl w:val="80523DE8"/>
    <w:lvl w:ilvl="0" w:tplc="60AAC7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E552F6"/>
    <w:multiLevelType w:val="hybridMultilevel"/>
    <w:tmpl w:val="F0440A16"/>
    <w:lvl w:ilvl="0" w:tplc="4448E6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22C96"/>
    <w:multiLevelType w:val="hybridMultilevel"/>
    <w:tmpl w:val="ACF8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B3ABD"/>
    <w:multiLevelType w:val="hybridMultilevel"/>
    <w:tmpl w:val="959E602E"/>
    <w:lvl w:ilvl="0" w:tplc="33CC6460">
      <w:start w:val="1"/>
      <w:numFmt w:val="russianLower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803331"/>
    <w:multiLevelType w:val="hybridMultilevel"/>
    <w:tmpl w:val="064AB26C"/>
    <w:lvl w:ilvl="0" w:tplc="BF34E2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05577F"/>
    <w:multiLevelType w:val="hybridMultilevel"/>
    <w:tmpl w:val="5290DA80"/>
    <w:lvl w:ilvl="0" w:tplc="0E4234A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0535F"/>
    <w:rsid w:val="0003015D"/>
    <w:rsid w:val="0004577E"/>
    <w:rsid w:val="000559F1"/>
    <w:rsid w:val="0006665D"/>
    <w:rsid w:val="000970DA"/>
    <w:rsid w:val="000D3D60"/>
    <w:rsid w:val="000D567F"/>
    <w:rsid w:val="00125DB9"/>
    <w:rsid w:val="00136142"/>
    <w:rsid w:val="0016006F"/>
    <w:rsid w:val="001608B0"/>
    <w:rsid w:val="0016635D"/>
    <w:rsid w:val="001A1A01"/>
    <w:rsid w:val="001B0599"/>
    <w:rsid w:val="001C0F62"/>
    <w:rsid w:val="001D0D16"/>
    <w:rsid w:val="00352591"/>
    <w:rsid w:val="00405498"/>
    <w:rsid w:val="00450511"/>
    <w:rsid w:val="004B2CD4"/>
    <w:rsid w:val="004B71A1"/>
    <w:rsid w:val="00536BD3"/>
    <w:rsid w:val="00542AD0"/>
    <w:rsid w:val="00570179"/>
    <w:rsid w:val="005A4B4B"/>
    <w:rsid w:val="005B3F08"/>
    <w:rsid w:val="005D5955"/>
    <w:rsid w:val="00636EC8"/>
    <w:rsid w:val="0065308F"/>
    <w:rsid w:val="0066323A"/>
    <w:rsid w:val="00673E3D"/>
    <w:rsid w:val="006933F8"/>
    <w:rsid w:val="006A2A3B"/>
    <w:rsid w:val="006D4456"/>
    <w:rsid w:val="006F3C47"/>
    <w:rsid w:val="006F5595"/>
    <w:rsid w:val="00733C10"/>
    <w:rsid w:val="00740DEA"/>
    <w:rsid w:val="00754EF5"/>
    <w:rsid w:val="007A3ABE"/>
    <w:rsid w:val="0089180C"/>
    <w:rsid w:val="008B3E5D"/>
    <w:rsid w:val="008E0240"/>
    <w:rsid w:val="008E6C13"/>
    <w:rsid w:val="008F1BA2"/>
    <w:rsid w:val="009122A4"/>
    <w:rsid w:val="00963CCC"/>
    <w:rsid w:val="009C27D4"/>
    <w:rsid w:val="00A31233"/>
    <w:rsid w:val="00A31BAF"/>
    <w:rsid w:val="00A55837"/>
    <w:rsid w:val="00B25713"/>
    <w:rsid w:val="00B559FA"/>
    <w:rsid w:val="00B7142C"/>
    <w:rsid w:val="00B773DD"/>
    <w:rsid w:val="00B845F1"/>
    <w:rsid w:val="00B90BD4"/>
    <w:rsid w:val="00BF59E3"/>
    <w:rsid w:val="00C57E82"/>
    <w:rsid w:val="00C750D2"/>
    <w:rsid w:val="00CD767F"/>
    <w:rsid w:val="00CF5E0A"/>
    <w:rsid w:val="00D470E0"/>
    <w:rsid w:val="00E21ADA"/>
    <w:rsid w:val="00E31BF1"/>
    <w:rsid w:val="00E721BC"/>
    <w:rsid w:val="00E73F10"/>
    <w:rsid w:val="00E95CE2"/>
    <w:rsid w:val="00F71308"/>
    <w:rsid w:val="00F83B80"/>
    <w:rsid w:val="00FB5382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A144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1"/>
    <w:link w:val="a3"/>
    <w:uiPriority w:val="9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1"/>
    <w:link w:val="aa"/>
    <w:uiPriority w:val="99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1D0D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styleId="af1">
    <w:name w:val="page number"/>
    <w:basedOn w:val="a0"/>
    <w:rsid w:val="001D0D16"/>
  </w:style>
  <w:style w:type="paragraph" w:customStyle="1" w:styleId="ConsPlusNonformat">
    <w:name w:val="ConsPlusNonformat"/>
    <w:uiPriority w:val="99"/>
    <w:rsid w:val="001D0D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customStyle="1" w:styleId="ConsPlusCell">
    <w:name w:val="ConsPlusCell"/>
    <w:rsid w:val="001D0D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paragraph" w:styleId="af2">
    <w:name w:val="List Paragraph"/>
    <w:basedOn w:val="a"/>
    <w:uiPriority w:val="34"/>
    <w:qFormat/>
    <w:rsid w:val="001D0D16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1D0D16"/>
  </w:style>
  <w:style w:type="paragraph" w:customStyle="1" w:styleId="ConsPlusTitle">
    <w:name w:val="ConsPlusTitle"/>
    <w:rsid w:val="001D0D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af3">
    <w:name w:val="Таблицы (моноширинный)"/>
    <w:basedOn w:val="a"/>
    <w:next w:val="a"/>
    <w:rsid w:val="001D0D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color w:val="auto"/>
      <w:sz w:val="20"/>
    </w:rPr>
  </w:style>
  <w:style w:type="paragraph" w:styleId="af4">
    <w:name w:val="Body Text"/>
    <w:basedOn w:val="a"/>
    <w:link w:val="af5"/>
    <w:rsid w:val="001D0D16"/>
    <w:pPr>
      <w:spacing w:after="0" w:line="240" w:lineRule="auto"/>
      <w:jc w:val="center"/>
    </w:pPr>
    <w:rPr>
      <w:rFonts w:ascii="Times New Roman" w:hAnsi="Times New Roman"/>
      <w:color w:val="auto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1D0D16"/>
    <w:rPr>
      <w:rFonts w:ascii="Times New Roman" w:hAnsi="Times New Roman"/>
      <w:color w:val="auto"/>
      <w:sz w:val="28"/>
      <w:szCs w:val="24"/>
    </w:rPr>
  </w:style>
  <w:style w:type="paragraph" w:customStyle="1" w:styleId="ConsNormal">
    <w:name w:val="ConsNormal"/>
    <w:rsid w:val="001D0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styleId="af6">
    <w:name w:val="annotation reference"/>
    <w:uiPriority w:val="99"/>
    <w:unhideWhenUsed/>
    <w:rsid w:val="001D0D16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1D0D16"/>
    <w:pPr>
      <w:spacing w:after="200" w:line="240" w:lineRule="auto"/>
    </w:pPr>
    <w:rPr>
      <w:rFonts w:ascii="Calibri" w:eastAsia="Calibri" w:hAnsi="Calibri"/>
      <w:color w:val="auto"/>
      <w:sz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1D0D16"/>
    <w:rPr>
      <w:rFonts w:ascii="Calibri" w:eastAsia="Calibri" w:hAnsi="Calibri"/>
      <w:color w:val="auto"/>
      <w:sz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1D0D1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1D0D16"/>
    <w:rPr>
      <w:rFonts w:ascii="Calibri" w:eastAsia="Calibri" w:hAnsi="Calibri"/>
      <w:b/>
      <w:bCs/>
      <w:color w:val="auto"/>
      <w:sz w:val="20"/>
      <w:lang w:eastAsia="en-US"/>
    </w:rPr>
  </w:style>
  <w:style w:type="paragraph" w:styleId="afb">
    <w:name w:val="No Spacing"/>
    <w:uiPriority w:val="1"/>
    <w:qFormat/>
    <w:rsid w:val="001D0D16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8">
    <w:name w:val="Знак1"/>
    <w:basedOn w:val="a"/>
    <w:rsid w:val="001D0D16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character" w:styleId="afc">
    <w:name w:val="FollowedHyperlink"/>
    <w:basedOn w:val="a0"/>
    <w:uiPriority w:val="99"/>
    <w:semiHidden/>
    <w:unhideWhenUsed/>
    <w:rsid w:val="0000535F"/>
    <w:rPr>
      <w:color w:val="954F72"/>
      <w:u w:val="single"/>
    </w:rPr>
  </w:style>
  <w:style w:type="paragraph" w:customStyle="1" w:styleId="msonormal0">
    <w:name w:val="msonormal"/>
    <w:basedOn w:val="a"/>
    <w:rsid w:val="0000535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nt5">
    <w:name w:val="font5"/>
    <w:basedOn w:val="a"/>
    <w:rsid w:val="0000535F"/>
    <w:pPr>
      <w:spacing w:before="100" w:beforeAutospacing="1" w:after="100" w:afterAutospacing="1" w:line="240" w:lineRule="auto"/>
    </w:pPr>
    <w:rPr>
      <w:rFonts w:ascii="Times New Roman" w:hAnsi="Times New Roman"/>
      <w:szCs w:val="22"/>
    </w:rPr>
  </w:style>
  <w:style w:type="paragraph" w:customStyle="1" w:styleId="font6">
    <w:name w:val="font6"/>
    <w:basedOn w:val="a"/>
    <w:rsid w:val="0000535F"/>
    <w:pPr>
      <w:spacing w:before="100" w:beforeAutospacing="1" w:after="100" w:afterAutospacing="1" w:line="240" w:lineRule="auto"/>
    </w:pPr>
    <w:rPr>
      <w:rFonts w:ascii="Times New Roman" w:hAnsi="Times New Roman"/>
      <w:szCs w:val="22"/>
    </w:rPr>
  </w:style>
  <w:style w:type="paragraph" w:customStyle="1" w:styleId="font7">
    <w:name w:val="font7"/>
    <w:basedOn w:val="a"/>
    <w:rsid w:val="0000535F"/>
    <w:pPr>
      <w:spacing w:before="100" w:beforeAutospacing="1" w:after="100" w:afterAutospacing="1" w:line="240" w:lineRule="auto"/>
    </w:pPr>
    <w:rPr>
      <w:rFonts w:ascii="Times New Roman" w:hAnsi="Times New Roman"/>
      <w:szCs w:val="22"/>
    </w:rPr>
  </w:style>
  <w:style w:type="paragraph" w:customStyle="1" w:styleId="xl63">
    <w:name w:val="xl63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4">
    <w:name w:val="xl64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5">
    <w:name w:val="xl65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6">
    <w:name w:val="xl66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7">
    <w:name w:val="xl67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8">
    <w:name w:val="xl68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005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24"/>
      <w:szCs w:val="24"/>
    </w:rPr>
  </w:style>
  <w:style w:type="character" w:styleId="afd">
    <w:name w:val="Placeholder Text"/>
    <w:basedOn w:val="a0"/>
    <w:uiPriority w:val="99"/>
    <w:semiHidden/>
    <w:rsid w:val="00570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24</Pages>
  <Words>8001</Words>
  <Characters>45607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Альбина Андреевна</dc:creator>
  <cp:lastModifiedBy>Середа Альбина Андреевна</cp:lastModifiedBy>
  <cp:revision>33</cp:revision>
  <dcterms:created xsi:type="dcterms:W3CDTF">2024-12-10T03:31:00Z</dcterms:created>
  <dcterms:modified xsi:type="dcterms:W3CDTF">2025-11-27T05:09:00Z</dcterms:modified>
</cp:coreProperties>
</file>