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8744885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8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/>
    </w:p>
    <w:p>
      <w:pPr>
        <w:jc w:val="center"/>
        <w:spacing w:after="0" w:line="360" w:lineRule="auto"/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>
        <w:rPr>
          <w:rFonts w:ascii="Times New Roman" w:hAnsi="Times New Roman"/>
          <w:b/>
          <w:sz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>
        <w:rPr>
          <w:rFonts w:ascii="Times New Roman" w:hAnsi="Times New Roman"/>
          <w:b/>
          <w:sz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</w:rPr>
        <w:t xml:space="preserve">ПРИКАЗ </w:t>
      </w: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7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Cs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6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я в приложение к приказу Министерства имущественных и земельных отношений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Камчатского края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от 16.04.2021 № 60/54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перечня государственного имущества Камчатского края, свободного от прав третьих лиц (за исключением права хозяйственного ведения, права оперативного управления, а так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b/>
                <w:bCs/>
              </w:rPr>
            </w:r>
            <w:r/>
          </w:p>
        </w:tc>
      </w:tr>
    </w:tbl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Камчатского края</w:t>
      </w:r>
      <w:r>
        <w:rPr>
          <w:rFonts w:ascii="Times New Roman" w:hAnsi="Times New Roman" w:cs="Times New Roman"/>
          <w:sz w:val="28"/>
        </w:rPr>
        <w:br/>
        <w:t xml:space="preserve"> от 03.04.2</w:t>
      </w:r>
      <w:r>
        <w:rPr>
          <w:rFonts w:ascii="Times New Roman" w:hAnsi="Times New Roman" w:cs="Times New Roman"/>
          <w:sz w:val="28"/>
        </w:rPr>
        <w:t xml:space="preserve">009 № 158-П «Об имущественной поддержке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Камчатском крае»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приказу Министерства имущественных и земельных отношений Камчатского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16.04.2021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№ 60/54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государственного имущества Камчатского края, свободного от прав третьих лиц (за исключением права хозяйственного ведения, права оперативного управления, а так</w:t>
      </w:r>
      <w:r>
        <w:rPr>
          <w:rFonts w:ascii="Times New Roman" w:hAnsi="Times New Roman" w:cs="Times New Roman"/>
          <w:sz w:val="28"/>
          <w:szCs w:val="28"/>
        </w:rPr>
        <w:t xml:space="preserve">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изменение, </w:t>
      </w:r>
      <w:r>
        <w:rPr>
          <w:rFonts w:ascii="Times New Roman" w:hAnsi="Times New Roman" w:cs="Times New Roman"/>
          <w:sz w:val="28"/>
          <w:szCs w:val="28"/>
        </w:rPr>
        <w:t xml:space="preserve">изложив его в редакции согласно приложению к настоящему приказу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</w:t>
      </w:r>
      <w:r>
        <w:rPr>
          <w:rFonts w:ascii="Times New Roman" w:hAnsi="Times New Roman" w:cs="Times New Roman"/>
          <w:sz w:val="28"/>
        </w:rPr>
        <w:t xml:space="preserve">Настоящий приказ вступает в силу через 10 дней после дня его официального опубликования.</w:t>
      </w:r>
      <w:r>
        <w:rPr>
          <w:rFonts w:ascii="Times New Roman" w:hAnsi="Times New Roman" w:eastAsia="Calibri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6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/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Н.М. Касеев</w:t>
            </w:r>
            <w:r/>
          </w:p>
        </w:tc>
      </w:tr>
    </w:tbl>
    <w:p>
      <w:pPr>
        <w:sectPr>
          <w:headerReference w:type="default" r:id="rId8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ind w:left="3543" w:right="-2" w:firstLine="4961"/>
        <w:spacing w:after="0" w:line="240" w:lineRule="auto"/>
        <w:widowControl w:val="off"/>
        <w:tabs>
          <w:tab w:val="left" w:pos="8222" w:leader="none"/>
        </w:tabs>
      </w:pPr>
      <w:r>
        <w:rPr>
          <w:rFonts w:ascii="Times New Roman" w:hAnsi="Times New Roman"/>
          <w:sz w:val="28"/>
        </w:rPr>
        <w:t xml:space="preserve">Приложение к приказу </w:t>
      </w:r>
      <w:r/>
    </w:p>
    <w:p>
      <w:pPr>
        <w:ind w:left="3543" w:right="-2" w:firstLine="4961"/>
        <w:spacing w:after="0" w:line="240" w:lineRule="auto"/>
        <w:widowControl w:val="off"/>
        <w:tabs>
          <w:tab w:val="left" w:pos="8222" w:leader="none"/>
        </w:tabs>
      </w:pP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/>
    </w:p>
    <w:p>
      <w:pPr>
        <w:ind w:left="3543" w:right="-2" w:firstLine="4961"/>
        <w:spacing w:after="0" w:line="240" w:lineRule="auto"/>
        <w:widowControl w:val="off"/>
        <w:tabs>
          <w:tab w:val="left" w:pos="8222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</w:t>
      </w:r>
      <w:r>
        <w:rPr>
          <w:rFonts w:ascii="Times New Roman" w:hAnsi="Times New Roman" w:cs="Times New Roman"/>
          <w:sz w:val="28"/>
          <w:szCs w:val="28"/>
        </w:rPr>
        <w:t xml:space="preserve">края</w:t>
      </w:r>
      <w:r/>
    </w:p>
    <w:tbl>
      <w:tblPr>
        <w:tblStyle w:val="861"/>
        <w:tblW w:w="0" w:type="auto"/>
        <w:tblInd w:w="850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rPr/>
        <w:tc>
          <w:tcPr>
            <w:tcW w:w="239" w:type="dxa"/>
            <w:textDirection w:val="lrTb"/>
            <w:noWrap w:val="false"/>
          </w:tcPr>
          <w:p>
            <w:pPr>
              <w:ind w:left="-65" w:firstLine="0"/>
              <w:jc w:val="right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]</w:t>
            </w:r>
            <w:r>
              <w:rPr>
                <w:rFonts w:ascii="Times New Roman" w:hAnsi="Times New Roman"/>
                <w:color w:val="ffffff"/>
                <w:sz w:val="28"/>
                <w:szCs w:val="28"/>
              </w:rPr>
            </w:r>
            <w:r/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  <w:sz w:val="28"/>
                <w:szCs w:val="28"/>
              </w:rPr>
            </w:r>
            <w:r/>
          </w:p>
        </w:tc>
      </w:tr>
    </w:tbl>
    <w:p>
      <w:pPr>
        <w:ind w:left="8220" w:right="0" w:firstLine="0"/>
        <w:jc w:val="both"/>
        <w:spacing w:after="0" w:line="240" w:lineRule="auto"/>
        <w:suppressLineNumbers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left="8504" w:right="0" w:firstLine="0"/>
        <w:jc w:val="both"/>
        <w:spacing w:after="0" w:line="240" w:lineRule="auto"/>
        <w:suppressLineNumbers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«Приложение к приказу </w:t>
      </w:r>
      <w:r/>
    </w:p>
    <w:p>
      <w:pPr>
        <w:ind w:left="8504" w:right="0" w:firstLine="0"/>
        <w:jc w:val="both"/>
        <w:spacing w:after="0" w:line="240" w:lineRule="auto"/>
        <w:suppressLineNumbers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имущественных</w:t>
      </w:r>
      <w:r/>
    </w:p>
    <w:p>
      <w:pPr>
        <w:ind w:left="8504" w:right="0" w:firstLine="0"/>
        <w:jc w:val="both"/>
        <w:spacing w:after="0" w:line="240" w:lineRule="auto"/>
        <w:suppressLineNumbers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земельных отношений Камчатского края </w:t>
      </w:r>
      <w:r/>
    </w:p>
    <w:p>
      <w:pPr>
        <w:ind w:left="8504" w:right="0" w:firstLine="0"/>
        <w:jc w:val="both"/>
        <w:spacing w:after="0" w:line="240" w:lineRule="auto"/>
        <w:suppressLineNumbers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16.04.2021 № 60/54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left="5102" w:right="0" w:firstLine="0"/>
        <w:jc w:val="both"/>
        <w:spacing w:after="0" w:line="240" w:lineRule="auto"/>
        <w:suppressLineNumbers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/>
    </w:p>
    <w:p>
      <w:pPr>
        <w:jc w:val="center"/>
        <w:spacing w:after="0" w:line="240" w:lineRule="auto"/>
        <w:tabs>
          <w:tab w:val="left" w:pos="6637" w:leader="none"/>
          <w:tab w:val="center" w:pos="7711" w:leader="none"/>
        </w:tabs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tabs>
          <w:tab w:val="left" w:pos="6637" w:leader="none"/>
          <w:tab w:val="center" w:pos="7711" w:leader="none"/>
        </w:tabs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Перечень</w:t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государственного имущества Камчатского края,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свободного от прав третьих лиц (за исключением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права хозяйственного ведения, права </w:t>
      </w:r>
      <w:r>
        <w:rPr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оперативного управления, а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имущественных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 субъектов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5633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60"/>
        <w:gridCol w:w="1701"/>
        <w:gridCol w:w="4360"/>
        <w:gridCol w:w="1951"/>
        <w:gridCol w:w="1560"/>
        <w:gridCol w:w="1134"/>
      </w:tblGrid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№п/п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недвижимости; тип 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shd w:val="clear" w:color="ffffff" w:fill="ffffff"/>
            <w:tcW w:w="46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1"/>
        </w:trPr>
        <w:tc>
          <w:tcPr>
            <w:shd w:val="clear" w:color="ffffff" w:fill="ffffff"/>
            <w:tcW w:w="5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shd w:val="clear" w:color="ffffff" w:fill="ffffff"/>
            <w:tcW w:w="46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характеристика объекта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17"/>
        </w:trPr>
        <w:tc>
          <w:tcPr>
            <w:shd w:val="clear" w:color="ffffff" w:fill="ffffff"/>
            <w:tcW w:w="56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(площадь- для земельных участков, зданий, помещений; протяженность, объем, глубина –для сооружений; протяженность, объем, площадь, глубина залегания согласно проектной документации-для объектов незавершенного строительства)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значение/Проектируемое значение (для объектов незавершенного строительства)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(для площади-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для протяженности-м; для глубины залегания-м; для объема-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г. Петропавловск-Камчатский, ул. Дальневосточная, д. 34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цокольного этажа поз. 33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19,2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г. Петропавловск-Камчатский, ул. Дальневосточная, д. 34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Нежилые помещения поз.49-51, 65-72 цокольного этажа в жилом доме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(пом. 95)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158,4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г. Петропавловск-Камчатский, ул. Дальневосточная, д. 34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цокольного этажа поз. 36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г. Петропавловск-Камчатский, ул. Дальневосточная, д. 34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цокольного этажа поз. 28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24,6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г. Петропавловск-Камчатский, ул. Дальневосточная, д. 34</w:t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/>
          </w:p>
        </w:tc>
        <w:tc>
          <w:tcPr>
            <w:shd w:val="clear" w:color="ffffff" w:fill="ffffff"/>
            <w:tcW w:w="43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цокольного этажа поз. 34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14,9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г. Петропавловск-Камчатский, ул. Дальневосточная, д. 34</w:t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/>
          </w:p>
        </w:tc>
        <w:tc>
          <w:tcPr>
            <w:shd w:val="clear" w:color="ffffff" w:fill="ffffff"/>
            <w:tcW w:w="43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цокольного этажа поз. 35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13,5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г. Петропавловск-Камчатский, пр. 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50 лет Октября,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5/2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Нежилое помещение поз. 13-16, 19-24, 40,41 цокольного этажа в жилом доме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91,3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г. Петропавловск-Камчатский, ул. Лукашевского, 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нежилых помещений поз. 9, 36 перехода второго этажа в здании редакционно-издательского корпуса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21,1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Петропавловск-Камчатский,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д.10А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Нежилые помещения поз. "1-17", "22-30" цокольного этажа в жилом доме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485,50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Петропавловск-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Циолковского,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д.42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4 первого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физкультурно-оздоровительного комплекса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19,8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Циолковского, д.42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второго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физкультурно-оздоровительного комплекса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</w:t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26,45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Океанская, д. 80/2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первого этажа в здании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Физкультурно-оздоровительный комплекс с плавательным бассейном»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,4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Океанская, д. 80/2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первого этажа в здании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Физкультурно-оздоровительный комплекс с плавательным бассейном»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  <w:t xml:space="preserve">56,0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пр-кт Победы, д. 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первого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учебно-тренировочного комплекса с плавательным бассейном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9,4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пр-кт Победы, д. 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Нежилые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71, часть поз. 2  первого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учебно-тренировочного комплекса с плавательным бассейном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72,9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пр-кт Победы, д. 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первого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учебно-тренировочного комплекса с плавательным бассейном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пр-кт Победы, д. 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первого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учебно-тренировочного комплекса с плавательным бассейном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пр-кт Победы, д. 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первого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учебно-тренировочного комплекса с плавательным бассейном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12,0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пр-кт Победы, д. 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 первого этажа в Здании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учебно-тренировочного комплекса с плавательным бассейном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67 первого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67 первого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3,0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64 третьего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67 первого этажа, поз. 49 второго этажа, поз. 64 третьего этажа, поз. 47 четвертого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4,0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65 третьего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4,8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64 третьего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64 третьего этажа, поз. 64 первого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2,0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47 четвертого этажа блок А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Войцешека, д. 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49 второго этажа блок С в здании </w:t>
            </w:r>
            <w:r>
              <w:rPr>
                <w:rFonts w:ascii="Times New Roman" w:hAnsi="Times New Roman" w:cs="Times New Roman"/>
              </w:rPr>
              <w:t xml:space="preserve">городской детской поликлиники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Набережная, д. 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первого этажа в здании </w:t>
            </w:r>
            <w:r>
              <w:rPr>
                <w:rFonts w:ascii="Times New Roman" w:hAnsi="Times New Roman" w:cs="Times New Roman"/>
              </w:rPr>
              <w:t xml:space="preserve">института усовершенствования учителей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Лукашевского, д. 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 первого этажа в здании </w:t>
            </w:r>
            <w:r>
              <w:rPr>
                <w:rFonts w:ascii="Times New Roman" w:hAnsi="Times New Roman" w:cs="Times New Roman"/>
              </w:rPr>
              <w:t xml:space="preserve">Роддома № 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Советская, д. 32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нежилого помещения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 второго этажа в здании </w:t>
            </w:r>
            <w:r>
              <w:rPr>
                <w:rFonts w:ascii="Times New Roman" w:hAnsi="Times New Roman" w:cs="Times New Roman"/>
              </w:rPr>
              <w:t xml:space="preserve">Областного центра медицинской профилактики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1,0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  <w:tr>
        <w:trPr/>
        <w:tc>
          <w:tcPr>
            <w:shd w:val="clear" w:color="ffffff" w:fill="ffffff"/>
            <w:tcW w:w="5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Камчатский край, 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Петропавловск-Камчатский,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Ленинская, д. 75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помещение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43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Часть нежилых помещений поз.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35 - 40 первого этажа в здании </w:t>
            </w:r>
            <w:r>
              <w:rPr>
                <w:rFonts w:ascii="Times New Roman" w:hAnsi="Times New Roman" w:cs="Times New Roman"/>
              </w:rPr>
              <w:t xml:space="preserve">Камчатского театра драмы и комедии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площадь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none"/>
              </w:rPr>
              <w:t xml:space="preserve">272,1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spacing w:after="120"/>
      </w:pPr>
      <w:r/>
      <w:r/>
    </w:p>
    <w:tbl>
      <w:tblPr>
        <w:tblW w:w="15594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1842"/>
        <w:gridCol w:w="1276"/>
        <w:gridCol w:w="1843"/>
        <w:gridCol w:w="2126"/>
        <w:gridCol w:w="992"/>
        <w:gridCol w:w="1134"/>
        <w:gridCol w:w="1560"/>
      </w:tblGrid>
      <w:tr>
        <w:trPr/>
        <w:tc>
          <w:tcPr>
            <w:gridSpan w:val="6"/>
            <w:tcW w:w="9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4"/>
            <w:tcW w:w="58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1"/>
        </w:trPr>
        <w:tc>
          <w:tcPr>
            <w:gridSpan w:val="3"/>
            <w:tcW w:w="48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объекта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знак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Марка, модель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(принадлежности) имущества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04"/>
        </w:trPr>
        <w:tc>
          <w:tcPr>
            <w:gridSpan w:val="2"/>
            <w:tcW w:w="29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(кадастровый, условный, устаревший)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41:01:0010115:12713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 капитального ремонта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41:01:0010115:11508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41:01:0010115:12716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 капитального ремонта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41:01:0010115:12712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 капитального ремонта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41:01:0010115:12714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 капитального ремонта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41:01:0010115:12715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 капитального ремонта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41:01:0010118:9390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Требует текущего ремонта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41:01:0010118:11630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Требует текущего ремонта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нежилых помещений в здании редакционно-издательского корпуса и переходов 1 и 3 этажей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41:01:0010129:3419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 капитального ремонта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Земельные участки многоквартирных жилых домов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41:01:0010119:710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Спортивный объект (бассейн, спортзал, спортклуб, фитнесцентр)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41:01:0010119:710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Спортивный объект (бассейн, спортзал, спортклуб, фитнесцентр)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41:01:0010127:6761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Земельные участки спортивно-зрелищных объектов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41:01:0010127:6761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Земельные участки спортивно-зрелищных объектов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41:01:0010113:3011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учебно-тренировочного комплекса с плавательным бассейном (спортивного сооружения)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41:01:0010113:3011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учебно-тренировочного комплекса с плавательным бассейном (спортивного сооружения)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41:01:0010113:3011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учебно-тренировочного комплекса с плавательным бассейном (спортивного сооружения)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41:01:0010113:3011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учебно-тренировочного комплекса с плавательным бассейном (спортивного сооружения)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41:01:0010113:3011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учебно-тренировочного комплекса с плавательным бассейном (спортивного сооружения)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41:01:0010113:3011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учебно-тренировочного комплекса с плавательным бассейном (спортивного сооружения)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41:01:0010116:891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детской поликлиники № 1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41:01:0010122:2892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административного здания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41:01:0010118:782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 роддома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41:01:0010122:739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кардиологического диспансера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52"/>
        </w:trPr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41:01:0010121:1329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</w:t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Пригодно к эксплуатации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auto"/>
                <w:sz w:val="24"/>
              </w:rPr>
              <w:t xml:space="preserve">Для эксплуатации здания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after="120"/>
      </w:pPr>
      <w:r/>
      <w:r/>
    </w:p>
    <w:tbl>
      <w:tblPr>
        <w:tblW w:w="15735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3260"/>
        <w:gridCol w:w="2552"/>
        <w:gridCol w:w="1701"/>
        <w:gridCol w:w="1559"/>
        <w:gridCol w:w="3118"/>
      </w:tblGrid>
      <w:tr>
        <w:trPr/>
        <w:tc>
          <w:tcPr>
            <w:gridSpan w:val="8"/>
            <w:tcW w:w="157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правообладателях и о правах третьих лиц на имущество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044"/>
        </w:trPr>
        <w:tc>
          <w:tcPr>
            <w:gridSpan w:val="3"/>
            <w:tcW w:w="3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договоров аренды и безвозмездного пользования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правообладателя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ограниченного вещного права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правообладателя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W w:w="1986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права аренды или права безвозмездного пользования на имущество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срока действия договора (при наличии)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auto"/>
            </w:pPr>
            <w:r/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4101121312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42-61-98 (доб. 2319)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0" w:tooltip="mailto:MinGosim@kamgov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MinGosim@kamgov.ru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835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25.12.2029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4101121312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 w:val="0"/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42-61-98 (доб. 2319)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1" w:tooltip="mailto:MinGosim@kamgov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MinGosim@kamgov.ru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835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4101121312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42-61-98 (доб. 2319)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2" w:tooltip="mailto:MinGosim@kamgov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MinGosim@kamgov.ru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835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4101121312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42-61-98 (доб. 2319)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3" w:tooltip="mailto:MinGosim@kamgov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MinGosim@kamgov.ru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835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val="en-US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4101121312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42-61-98 (доб. 2319)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4" w:tooltip="mailto:MinGosim@kamgov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MinGosim@kamgov.ru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835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4101121312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42-61-98 (доб. 2319)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1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5" w:tooltip="mailto:MinGosim@kamgov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MinGosim@kamgov.ru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4101121312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42-61-98 (доб. 2319)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6" w:tooltip="mailto:MinGosim@kamgov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MinGosim@kamgov.ru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767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4100019108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ГУП «Камчатстройэнергосервис»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хозяйственного ведения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23-03-26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7" w:tooltip="mailto:info@kamses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info@kamses.ru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4101068210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Петропавловск-Камчатская городская больница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24-48-18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</w:r>
            <w:hyperlink r:id="rId18" w:tooltip="mailto:plykchi.np@pkgb2.ru" w:history="1">
              <w:r>
                <w:rPr>
                  <w:rStyle w:val="83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plykchi.np@pkgb2.ru</w:t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31.12.2025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4100048290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«Центр управления спортивными объектами»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22-36-58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hyperlink r:id="rId19" w:tooltip="http://Priemnaya@elizovofok.ru" w:history="1"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  <w:t xml:space="preserve">P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white"/>
                </w:rPr>
                <w:t xml:space="preserve">riemnaya@elizovofok.ru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.07.2026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4100048290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управления спортивными объектами»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22-36-58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hyperlink r:id="rId20" w:tooltip="http://Priemnaya@elizovofok.ru" w:history="1"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  <w:t xml:space="preserve">P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white"/>
                </w:rPr>
                <w:t xml:space="preserve">riemnaya@elizovofok.ru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593"/>
        </w:trPr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4100048290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«Центр управления спортивными объектами»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34-52-00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hyperlink r:id="rId21" w:tooltip="http://Priemnaya@elizovofok.ru" w:history="1"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  <w:t xml:space="preserve">P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white"/>
                </w:rPr>
                <w:t xml:space="preserve">riemnaya@elizovofok.ru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4100048290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управления спортивными объектами»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34-52-00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hyperlink r:id="rId22" w:tooltip="http://Priemnaya@elizovofok.ru" w:history="1"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  <w:t xml:space="preserve">P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white"/>
                </w:rPr>
                <w:t xml:space="preserve">riemnaya@elizovofok.ru</w:t>
              </w:r>
              <w:r>
                <w:rPr>
                  <w:rStyle w:val="837"/>
                  <w:rFonts w:ascii="Times New Roman" w:hAnsi="Times New Roman" w:eastAsia="Arial" w:cs="Times New Roman"/>
                  <w:color w:val="auto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4101041836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КГАУДО  «Спортивная школа олимпийского резерва по плаванию»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29-59-25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kamplavanie@mail.ru</w:t>
            </w:r>
            <w:r>
              <w:rPr>
                <w:color w:val="auto"/>
              </w:rPr>
            </w:r>
          </w:p>
          <w:p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4101041836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КГАУДО  «Спортивная школа олимпийского резерва по плаванию»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29-59-25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kamplavanie@mail.ru</w:t>
            </w:r>
            <w:r>
              <w:rPr>
                <w:color w:val="auto"/>
              </w:rPr>
            </w:r>
          </w:p>
          <w:p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31.07.2026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4101041836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КГАУДО  «Спортивная школа олимпийского резерва по плаванию»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29-59-25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kamplavanie@mail.ru</w:t>
            </w:r>
            <w:r>
              <w:rPr>
                <w:color w:val="auto"/>
              </w:rPr>
            </w:r>
          </w:p>
          <w:p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31.07.2026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4101041836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КГАУДО  «Спортивная школа олимпийского резерва по плаванию»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29-59-25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kamplavanie@mail.ru</w:t>
            </w:r>
            <w:r>
              <w:rPr>
                <w:color w:val="auto"/>
              </w:rPr>
            </w:r>
          </w:p>
          <w:p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31.07.2026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4101041836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КГАУДО  «Спортивная школа олимпийского резерва по плаванию»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29-59-25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kamplavanie@mail.ru</w:t>
            </w:r>
            <w:r>
              <w:rPr>
                <w:color w:val="auto"/>
              </w:rPr>
            </w:r>
          </w:p>
          <w:p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19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31.07.2026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4101041836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КГАУДО  «Спортивная школа олимпийского резерва по плаванию»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29-59-25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kamplavanie@mail.ru</w:t>
            </w:r>
            <w:r>
              <w:rPr>
                <w:color w:val="auto"/>
              </w:rPr>
            </w:r>
          </w:p>
          <w:p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«Петропавловск-Камчатская городская детская поликлиника № 1»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color w:val="auto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«Петропавловск-Камчатская городская детская поликлиника № 1»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«Петропавловск-Камчатская городская детская поликлиника № 1»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«Петропавловск-Камчатская городская детская поликлиника № 1»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04.06.2030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"Петропавловск-Камчатская городская детская поликлиника № 1"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"Петропавловск-Камчатская городская детская поликлиника № 1"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"Петропавловск-Камчатская городская детская поликлиника № 1"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"Петропавловск-Камчатская городская детская поликлиника № 1"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30.04.2030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4101042036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Камчатского края "Петропавловск-Камчатская городская детская поликлиника № 1"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26-50-45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gdp1@gdp1pk.ru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29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31.12.2026</w:t>
            </w:r>
            <w:r>
              <w:rPr>
                <w:highlight w:val="yellow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4100016851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ДПО «Камчатский институт развития образования"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42-50-73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kiro@kamchatkairo.ru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4101036120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"Камчатский краевой родильный дом"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23-35-39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groddom7@mail.ru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неопределенный срок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4100008900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"Камчатский краевой кардиологический диспансер"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41-22-29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kkkd@med.kamgov.ru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tcW w:w="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  <w:outlineLvl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30.06.2028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4100000509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«Камчатский театр драмы и комедии"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оперативного управления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42-04-81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kanat2006@yandex.ru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</w:r>
            <w:r>
              <w:rPr>
                <w:color w:val="auto"/>
              </w:rPr>
            </w:r>
          </w:p>
        </w:tc>
      </w:tr>
    </w:tbl>
    <w:p>
      <w:pPr>
        <w:ind w:left="5102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  <w:suppressLineNumbers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/>
    </w:p>
    <w:p>
      <w:r/>
      <w:r/>
    </w:p>
    <w:p>
      <w:r/>
      <w:r/>
    </w:p>
    <w:sectPr>
      <w:footnotePr/>
      <w:endnotePr/>
      <w:type w:val="nextPage"/>
      <w:pgSz w:w="16838" w:h="11906" w:orient="landscape"/>
      <w:pgMar w:top="1418" w:right="1134" w:bottom="851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31"/>
    <w:link w:val="835"/>
    <w:uiPriority w:val="9"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831"/>
    <w:link w:val="859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31"/>
    <w:link w:val="821"/>
    <w:uiPriority w:val="9"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831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831"/>
    <w:link w:val="83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09"/>
    <w:next w:val="809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31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09"/>
    <w:next w:val="809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31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09"/>
    <w:next w:val="809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3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9"/>
    <w:next w:val="809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31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List Paragraph"/>
    <w:basedOn w:val="809"/>
    <w:uiPriority w:val="34"/>
    <w:qFormat/>
    <w:pPr>
      <w:contextualSpacing/>
      <w:ind w:left="720"/>
    </w:pPr>
  </w:style>
  <w:style w:type="paragraph" w:styleId="664">
    <w:name w:val="No Spacing"/>
    <w:uiPriority w:val="1"/>
    <w:qFormat/>
    <w:pPr>
      <w:spacing w:before="0" w:after="0" w:line="240" w:lineRule="auto"/>
    </w:pPr>
  </w:style>
  <w:style w:type="character" w:styleId="665">
    <w:name w:val="Title Char"/>
    <w:basedOn w:val="831"/>
    <w:link w:val="855"/>
    <w:uiPriority w:val="10"/>
    <w:rPr>
      <w:sz w:val="48"/>
      <w:szCs w:val="48"/>
    </w:rPr>
  </w:style>
  <w:style w:type="character" w:styleId="666">
    <w:name w:val="Subtitle Char"/>
    <w:basedOn w:val="831"/>
    <w:link w:val="853"/>
    <w:uiPriority w:val="11"/>
    <w:rPr>
      <w:sz w:val="24"/>
      <w:szCs w:val="24"/>
    </w:rPr>
  </w:style>
  <w:style w:type="paragraph" w:styleId="667">
    <w:name w:val="Quote"/>
    <w:basedOn w:val="809"/>
    <w:next w:val="809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09"/>
    <w:next w:val="809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character" w:styleId="671">
    <w:name w:val="Header Char"/>
    <w:basedOn w:val="831"/>
    <w:link w:val="823"/>
    <w:uiPriority w:val="99"/>
  </w:style>
  <w:style w:type="character" w:styleId="672">
    <w:name w:val="Footer Char"/>
    <w:basedOn w:val="831"/>
    <w:link w:val="851"/>
    <w:uiPriority w:val="99"/>
  </w:style>
  <w:style w:type="paragraph" w:styleId="67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851"/>
    <w:uiPriority w:val="99"/>
  </w:style>
  <w:style w:type="table" w:styleId="67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09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31"/>
    <w:uiPriority w:val="99"/>
    <w:unhideWhenUsed/>
    <w:rPr>
      <w:vertAlign w:val="superscript"/>
    </w:rPr>
  </w:style>
  <w:style w:type="paragraph" w:styleId="803">
    <w:name w:val="endnote text"/>
    <w:basedOn w:val="809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31"/>
    <w:uiPriority w:val="99"/>
    <w:semiHidden/>
    <w:unhideWhenUsed/>
    <w:rPr>
      <w:vertAlign w:val="superscript"/>
    </w:rPr>
  </w:style>
  <w:style w:type="paragraph" w:styleId="806">
    <w:name w:val="TOC Heading"/>
    <w:uiPriority w:val="39"/>
    <w:unhideWhenUsed/>
  </w:style>
  <w:style w:type="paragraph" w:styleId="807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8" w:default="1">
    <w:name w:val="Normal"/>
    <w:link w:val="809"/>
    <w:uiPriority w:val="0"/>
    <w:qFormat/>
  </w:style>
  <w:style w:type="character" w:styleId="809" w:default="1">
    <w:name w:val="Normal"/>
    <w:link w:val="808"/>
  </w:style>
  <w:style w:type="paragraph" w:styleId="810">
    <w:name w:val="toc 2"/>
    <w:next w:val="808"/>
    <w:link w:val="811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11">
    <w:name w:val="toc 2"/>
    <w:link w:val="810"/>
    <w:rPr>
      <w:rFonts w:ascii="XO Thames" w:hAnsi="XO Thames"/>
      <w:sz w:val="28"/>
    </w:rPr>
  </w:style>
  <w:style w:type="paragraph" w:styleId="812">
    <w:name w:val="toc 4"/>
    <w:next w:val="808"/>
    <w:link w:val="813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13">
    <w:name w:val="toc 4"/>
    <w:link w:val="812"/>
    <w:rPr>
      <w:rFonts w:ascii="XO Thames" w:hAnsi="XO Thames"/>
      <w:sz w:val="28"/>
    </w:rPr>
  </w:style>
  <w:style w:type="paragraph" w:styleId="814">
    <w:name w:val="toc 6"/>
    <w:next w:val="808"/>
    <w:link w:val="815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15">
    <w:name w:val="toc 6"/>
    <w:link w:val="814"/>
    <w:rPr>
      <w:rFonts w:ascii="XO Thames" w:hAnsi="XO Thames"/>
      <w:sz w:val="28"/>
    </w:rPr>
  </w:style>
  <w:style w:type="paragraph" w:styleId="816">
    <w:name w:val="toc 7"/>
    <w:next w:val="808"/>
    <w:link w:val="817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17">
    <w:name w:val="toc 7"/>
    <w:link w:val="816"/>
    <w:rPr>
      <w:rFonts w:ascii="XO Thames" w:hAnsi="XO Thames"/>
      <w:sz w:val="28"/>
    </w:rPr>
  </w:style>
  <w:style w:type="paragraph" w:styleId="818">
    <w:name w:val="Endnote"/>
    <w:link w:val="819"/>
    <w:pPr>
      <w:ind w:left="0" w:firstLine="851"/>
      <w:jc w:val="both"/>
    </w:pPr>
    <w:rPr>
      <w:rFonts w:ascii="XO Thames" w:hAnsi="XO Thames"/>
      <w:sz w:val="22"/>
    </w:rPr>
  </w:style>
  <w:style w:type="character" w:styleId="819">
    <w:name w:val="Endnote"/>
    <w:link w:val="818"/>
    <w:rPr>
      <w:rFonts w:ascii="XO Thames" w:hAnsi="XO Thames"/>
      <w:sz w:val="22"/>
    </w:rPr>
  </w:style>
  <w:style w:type="paragraph" w:styleId="820">
    <w:name w:val="Heading 3"/>
    <w:next w:val="808"/>
    <w:link w:val="82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21">
    <w:name w:val="Heading 3"/>
    <w:link w:val="820"/>
    <w:rPr>
      <w:rFonts w:ascii="XO Thames" w:hAnsi="XO Thames"/>
      <w:b/>
      <w:sz w:val="26"/>
    </w:rPr>
  </w:style>
  <w:style w:type="paragraph" w:styleId="822">
    <w:name w:val="Header"/>
    <w:basedOn w:val="808"/>
    <w:link w:val="823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3">
    <w:name w:val="Header"/>
    <w:basedOn w:val="809"/>
    <w:link w:val="822"/>
  </w:style>
  <w:style w:type="paragraph" w:styleId="824">
    <w:name w:val="Plain Text"/>
    <w:basedOn w:val="808"/>
    <w:link w:val="825"/>
    <w:pPr>
      <w:spacing w:after="0" w:line="240" w:lineRule="auto"/>
    </w:pPr>
    <w:rPr>
      <w:rFonts w:ascii="Calibri" w:hAnsi="Calibri"/>
    </w:rPr>
  </w:style>
  <w:style w:type="character" w:styleId="825">
    <w:name w:val="Plain Text"/>
    <w:basedOn w:val="809"/>
    <w:link w:val="824"/>
    <w:rPr>
      <w:rFonts w:ascii="Calibri" w:hAnsi="Calibri"/>
    </w:rPr>
  </w:style>
  <w:style w:type="paragraph" w:styleId="826">
    <w:name w:val="Balloon Text"/>
    <w:basedOn w:val="808"/>
    <w:link w:val="827"/>
    <w:pPr>
      <w:spacing w:after="0" w:line="240" w:lineRule="auto"/>
    </w:pPr>
    <w:rPr>
      <w:rFonts w:ascii="Segoe UI" w:hAnsi="Segoe UI"/>
      <w:sz w:val="18"/>
    </w:rPr>
  </w:style>
  <w:style w:type="character" w:styleId="827">
    <w:name w:val="Balloon Text"/>
    <w:basedOn w:val="809"/>
    <w:link w:val="826"/>
    <w:rPr>
      <w:rFonts w:ascii="Segoe UI" w:hAnsi="Segoe UI"/>
      <w:sz w:val="18"/>
    </w:rPr>
  </w:style>
  <w:style w:type="paragraph" w:styleId="828">
    <w:name w:val="toc 3"/>
    <w:next w:val="808"/>
    <w:link w:val="829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29">
    <w:name w:val="toc 3"/>
    <w:link w:val="828"/>
    <w:rPr>
      <w:rFonts w:ascii="XO Thames" w:hAnsi="XO Thames"/>
      <w:sz w:val="28"/>
    </w:rPr>
  </w:style>
  <w:style w:type="paragraph" w:styleId="830">
    <w:name w:val="Default Paragraph Font"/>
    <w:link w:val="831"/>
  </w:style>
  <w:style w:type="character" w:styleId="831">
    <w:name w:val="Default Paragraph Font"/>
    <w:link w:val="830"/>
  </w:style>
  <w:style w:type="paragraph" w:styleId="832">
    <w:name w:val="Heading 5"/>
    <w:next w:val="808"/>
    <w:link w:val="833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33">
    <w:name w:val="Heading 5"/>
    <w:link w:val="832"/>
    <w:rPr>
      <w:rFonts w:ascii="XO Thames" w:hAnsi="XO Thames"/>
      <w:b/>
      <w:sz w:val="22"/>
    </w:rPr>
  </w:style>
  <w:style w:type="paragraph" w:styleId="834">
    <w:name w:val="Heading 1"/>
    <w:next w:val="808"/>
    <w:link w:val="83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35">
    <w:name w:val="Heading 1"/>
    <w:link w:val="834"/>
    <w:rPr>
      <w:rFonts w:ascii="XO Thames" w:hAnsi="XO Thames"/>
      <w:b/>
      <w:sz w:val="32"/>
    </w:rPr>
  </w:style>
  <w:style w:type="paragraph" w:styleId="836">
    <w:name w:val="Hyperlink"/>
    <w:basedOn w:val="830"/>
    <w:link w:val="837"/>
    <w:rPr>
      <w:color w:val="0563c1" w:themeColor="hyperlink"/>
      <w:u w:val="single"/>
    </w:rPr>
  </w:style>
  <w:style w:type="character" w:styleId="837">
    <w:name w:val="Hyperlink"/>
    <w:basedOn w:val="831"/>
    <w:link w:val="836"/>
    <w:rPr>
      <w:color w:val="0563c1" w:themeColor="hyperlink"/>
      <w:u w:val="single"/>
    </w:rPr>
  </w:style>
  <w:style w:type="paragraph" w:styleId="838">
    <w:name w:val="Footnote"/>
    <w:link w:val="839"/>
    <w:pPr>
      <w:ind w:left="0" w:firstLine="851"/>
      <w:jc w:val="both"/>
    </w:pPr>
    <w:rPr>
      <w:rFonts w:ascii="XO Thames" w:hAnsi="XO Thames"/>
      <w:sz w:val="22"/>
    </w:rPr>
  </w:style>
  <w:style w:type="character" w:styleId="839">
    <w:name w:val="Footnote"/>
    <w:link w:val="838"/>
    <w:rPr>
      <w:rFonts w:ascii="XO Thames" w:hAnsi="XO Thames"/>
      <w:sz w:val="22"/>
    </w:rPr>
  </w:style>
  <w:style w:type="paragraph" w:styleId="840">
    <w:name w:val="toc 1"/>
    <w:next w:val="808"/>
    <w:link w:val="841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41">
    <w:name w:val="toc 1"/>
    <w:link w:val="840"/>
    <w:rPr>
      <w:rFonts w:ascii="XO Thames" w:hAnsi="XO Thames"/>
      <w:b/>
      <w:sz w:val="28"/>
    </w:rPr>
  </w:style>
  <w:style w:type="paragraph" w:styleId="842">
    <w:name w:val="Header and Footer"/>
    <w:link w:val="843"/>
    <w:pPr>
      <w:jc w:val="both"/>
      <w:spacing w:line="240" w:lineRule="auto"/>
    </w:pPr>
    <w:rPr>
      <w:rFonts w:ascii="XO Thames" w:hAnsi="XO Thames"/>
      <w:sz w:val="28"/>
    </w:rPr>
  </w:style>
  <w:style w:type="character" w:styleId="843">
    <w:name w:val="Header and Footer"/>
    <w:link w:val="842"/>
    <w:rPr>
      <w:rFonts w:ascii="XO Thames" w:hAnsi="XO Thames"/>
      <w:sz w:val="28"/>
    </w:rPr>
  </w:style>
  <w:style w:type="paragraph" w:styleId="844">
    <w:name w:val="toc 9"/>
    <w:next w:val="808"/>
    <w:link w:val="845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45">
    <w:name w:val="toc 9"/>
    <w:link w:val="844"/>
    <w:rPr>
      <w:rFonts w:ascii="XO Thames" w:hAnsi="XO Thames"/>
      <w:sz w:val="28"/>
    </w:rPr>
  </w:style>
  <w:style w:type="paragraph" w:styleId="846">
    <w:name w:val="toc 8"/>
    <w:next w:val="808"/>
    <w:link w:val="847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47">
    <w:name w:val="toc 8"/>
    <w:link w:val="846"/>
    <w:rPr>
      <w:rFonts w:ascii="XO Thames" w:hAnsi="XO Thames"/>
      <w:sz w:val="28"/>
    </w:rPr>
  </w:style>
  <w:style w:type="paragraph" w:styleId="848">
    <w:name w:val="toc 5"/>
    <w:next w:val="808"/>
    <w:link w:val="849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49">
    <w:name w:val="toc 5"/>
    <w:link w:val="848"/>
    <w:rPr>
      <w:rFonts w:ascii="XO Thames" w:hAnsi="XO Thames"/>
      <w:sz w:val="28"/>
    </w:rPr>
  </w:style>
  <w:style w:type="paragraph" w:styleId="850">
    <w:name w:val="Footer"/>
    <w:basedOn w:val="808"/>
    <w:link w:val="85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1">
    <w:name w:val="Footer"/>
    <w:basedOn w:val="809"/>
    <w:link w:val="850"/>
    <w:rPr>
      <w:rFonts w:ascii="Times New Roman" w:hAnsi="Times New Roman"/>
      <w:sz w:val="28"/>
    </w:rPr>
  </w:style>
  <w:style w:type="paragraph" w:styleId="852">
    <w:name w:val="Subtitle"/>
    <w:next w:val="808"/>
    <w:link w:val="85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3">
    <w:name w:val="Subtitle"/>
    <w:link w:val="852"/>
    <w:rPr>
      <w:rFonts w:ascii="XO Thames" w:hAnsi="XO Thames"/>
      <w:i/>
      <w:sz w:val="24"/>
    </w:rPr>
  </w:style>
  <w:style w:type="paragraph" w:styleId="854">
    <w:name w:val="Title"/>
    <w:next w:val="808"/>
    <w:link w:val="85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5">
    <w:name w:val="Title"/>
    <w:link w:val="854"/>
    <w:rPr>
      <w:rFonts w:ascii="XO Thames" w:hAnsi="XO Thames"/>
      <w:b/>
      <w:caps/>
      <w:sz w:val="40"/>
    </w:rPr>
  </w:style>
  <w:style w:type="paragraph" w:styleId="856">
    <w:name w:val="Heading 4"/>
    <w:next w:val="808"/>
    <w:link w:val="85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57">
    <w:name w:val="Heading 4"/>
    <w:link w:val="856"/>
    <w:rPr>
      <w:rFonts w:ascii="XO Thames" w:hAnsi="XO Thames"/>
      <w:b/>
      <w:sz w:val="24"/>
    </w:rPr>
  </w:style>
  <w:style w:type="paragraph" w:styleId="858">
    <w:name w:val="Heading 2"/>
    <w:next w:val="808"/>
    <w:link w:val="85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59">
    <w:name w:val="Heading 2"/>
    <w:link w:val="858"/>
    <w:rPr>
      <w:rFonts w:ascii="XO Thames" w:hAnsi="XO Thames"/>
      <w:b/>
      <w:sz w:val="28"/>
    </w:rPr>
  </w:style>
  <w:style w:type="table" w:styleId="860">
    <w:name w:val="Сетка таблицы2"/>
    <w:basedOn w:val="86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1">
    <w:name w:val="Table Grid"/>
    <w:basedOn w:val="86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2">
    <w:name w:val="Сетка таблицы1"/>
    <w:basedOn w:val="86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hyperlink" Target="mailto:MinGosim@kamgov.ru" TargetMode="External"/><Relationship Id="rId11" Type="http://schemas.openxmlformats.org/officeDocument/2006/relationships/hyperlink" Target="mailto:MinGosim@kamgov.ru" TargetMode="External"/><Relationship Id="rId12" Type="http://schemas.openxmlformats.org/officeDocument/2006/relationships/hyperlink" Target="mailto:MinGosim@kamgov.ru" TargetMode="External"/><Relationship Id="rId13" Type="http://schemas.openxmlformats.org/officeDocument/2006/relationships/hyperlink" Target="mailto:MinGosim@kamgov.ru" TargetMode="External"/><Relationship Id="rId14" Type="http://schemas.openxmlformats.org/officeDocument/2006/relationships/hyperlink" Target="mailto:MinGosim@kamgov.ru" TargetMode="External"/><Relationship Id="rId15" Type="http://schemas.openxmlformats.org/officeDocument/2006/relationships/hyperlink" Target="mailto:MinGosim@kamgov.ru" TargetMode="External"/><Relationship Id="rId16" Type="http://schemas.openxmlformats.org/officeDocument/2006/relationships/hyperlink" Target="mailto:MinGosim@kamgov.ru" TargetMode="External"/><Relationship Id="rId17" Type="http://schemas.openxmlformats.org/officeDocument/2006/relationships/hyperlink" Target="mailto:info@kamses.ru" TargetMode="External"/><Relationship Id="rId18" Type="http://schemas.openxmlformats.org/officeDocument/2006/relationships/hyperlink" Target="mailto:plykchi.np@pkgb2.ru" TargetMode="External"/><Relationship Id="rId19" Type="http://schemas.openxmlformats.org/officeDocument/2006/relationships/hyperlink" Target="http://Priemnaya@elizovofok.ru" TargetMode="External"/><Relationship Id="rId20" Type="http://schemas.openxmlformats.org/officeDocument/2006/relationships/hyperlink" Target="http://Priemnaya@elizovofok.ru" TargetMode="External"/><Relationship Id="rId21" Type="http://schemas.openxmlformats.org/officeDocument/2006/relationships/hyperlink" Target="http://Priemnaya@elizovofok.ru" TargetMode="External"/><Relationship Id="rId22" Type="http://schemas.openxmlformats.org/officeDocument/2006/relationships/hyperlink" Target="http://Priemnaya@elizovofo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modified xsi:type="dcterms:W3CDTF">2025-11-21T03:23:46Z</dcterms:modified>
</cp:coreProperties>
</file>