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99" y="0"/>
                <wp:lineTo x="-99" y="20807"/>
                <wp:lineTo x="20869" y="20807"/>
                <wp:lineTo x="20869" y="0"/>
                <wp:lineTo x="-99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Перечня нормативных правовых актов Камчатского края, устанавливающих размер платежей в бюджеты бюджетной системы Российской Федерации, являющихся источниками формирования неналоговых доходов бюджета Камчатского края, на которые распространяются особенности, установленные статьей 3 пунктом 4 Федерального закона от 31.07.2025 № 285-ФЗ «О внесении изменений</w:t>
        <w:br/>
        <w:t>в отдельные законодательные акты Российской Федерации»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Paragraph1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Перечень нормативных правовых актов Камчатского края, устанавливающих размер платежей в бюджеты бюджетной системы Российской Федерации, являющихся источниками формирования неналоговых доходов бюджета Камчатского края, на которые распространяются особенности, установленные статьей 3 пунктом 4 Федерального закона</w:t>
        <w:br/>
        <w:t>от 31.07.2025 № 285-ФЗ «О внесении изменений в отдельные законодательные акты Российской Федерации», согласно приложению к настоящему постановлению.</w:t>
      </w:r>
    </w:p>
    <w:p>
      <w:pPr>
        <w:pStyle w:val="ListParagraph1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дня его официального опубликования.</w:t>
      </w:r>
    </w:p>
    <w:p>
      <w:pPr>
        <w:pStyle w:val="ListParagraph1"/>
        <w:tabs>
          <w:tab w:val="clear" w:pos="708"/>
          <w:tab w:val="left" w:pos="993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Paragraph1"/>
        <w:tabs>
          <w:tab w:val="clear" w:pos="708"/>
          <w:tab w:val="left" w:pos="993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Paragraph1"/>
        <w:tabs>
          <w:tab w:val="clear" w:pos="708"/>
          <w:tab w:val="left" w:pos="993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7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578"/>
        <w:gridCol w:w="3544"/>
        <w:gridCol w:w="2551"/>
      </w:tblGrid>
      <w:tr>
        <w:trPr>
          <w:trHeight w:val="1755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  <w:szCs w:val="20"/>
              </w:rPr>
              <w:t>Ю.С. Морозова</w:t>
            </w:r>
          </w:p>
        </w:tc>
      </w:tr>
    </w:tbl>
    <w:p>
      <w:pPr>
        <w:sectPr>
          <w:headerReference w:type="default" r:id="rId3"/>
          <w:footerReference w:type="default" r:id="rId4"/>
          <w:type w:val="nextPage"/>
          <w:pgSz w:w="11906" w:h="16838"/>
          <w:pgMar w:left="1418" w:right="851" w:gutter="0" w:header="1134" w:top="1191" w:footer="0" w:bottom="837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958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0"/>
        <w:gridCol w:w="480"/>
        <w:gridCol w:w="478"/>
        <w:gridCol w:w="3527"/>
        <w:gridCol w:w="483"/>
        <w:gridCol w:w="1869"/>
        <w:gridCol w:w="487"/>
        <w:gridCol w:w="1779"/>
      </w:tblGrid>
      <w:tr>
        <w:trPr/>
        <w:tc>
          <w:tcPr>
            <w:tcW w:w="4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5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618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Приложение к постановлению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5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618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Правительства Камчатского края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527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3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от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  <w:szCs w:val="20"/>
                <w14:textFill>
                  <w14:solidFill>
                    <w14:schemeClr w14:val="bg1"/>
                  </w14:solidFill>
                </w14:textFill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  <w:szCs w:val="20"/>
                <w14:textFill>
                  <w14:solidFill>
                    <w14:schemeClr w14:val="bg1"/>
                  </w14:solidFill>
                </w14:textFill>
              </w:rPr>
              <w:t>EGDATESTAMP]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1779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  <w:szCs w:val="20"/>
                <w14:textFill>
                  <w14:solidFill>
                    <w14:schemeClr w14:val="bg1"/>
                  </w14:solidFill>
                </w14:textFill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  <w:szCs w:val="20"/>
                <w14:textFill>
                  <w14:solidFill>
                    <w14:schemeClr w14:val="bg1"/>
                  </w14:solidFill>
                </w14:textFill>
              </w:rPr>
              <w:t>EGNUMSTAMP]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</w:p>
    <w:p>
      <w:pPr>
        <w:pStyle w:val="Normal"/>
        <w:spacing w:lineRule="auto" w:line="240" w:before="0" w:after="0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нормативных правовых актов Камчатского края, устанавливающих размер платежей в бюджеты бюджетной системы Российской Федерации, являющихся источниками формирования неналоговых доходов бюджета Камчатского края,</w:t>
        <w:br/>
        <w:t>на которые распространяются особенности, установленные статьей 3 пунктом 4 Федерального закона от 31.07.2025</w:t>
        <w:br/>
        <w:t>№ 285-ФЗ «О внесении изменений в отдельные законодательные акты Российской Федерации»</w:t>
      </w:r>
    </w:p>
    <w:p>
      <w:pPr>
        <w:pStyle w:val="Normal"/>
        <w:spacing w:lineRule="auto" w:line="240" w:before="0" w:after="0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385" w:type="dxa"/>
        <w:jc w:val="left"/>
        <w:tblInd w:w="2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4927"/>
        <w:gridCol w:w="8896"/>
      </w:tblGrid>
      <w:tr>
        <w:trPr>
          <w:trHeight w:val="1343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Наименование неналогового дохода</w:t>
            </w:r>
          </w:p>
        </w:tc>
        <w:tc>
          <w:tcPr>
            <w:tcW w:w="8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Нормативные правовые акты Камчатского края, устанавливающих размер платежей в бюджеты бюджетной системы Российской Федерации, являющихся источниками формирования неналоговых доходов бюджета Камчатского края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4385" w:type="dxa"/>
        <w:jc w:val="left"/>
        <w:tblInd w:w="2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4927"/>
        <w:gridCol w:w="8896"/>
      </w:tblGrid>
      <w:tr>
        <w:trPr>
          <w:tblHeader w:val="true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Доход от продажи имущества, находящегося в государственной или муниципальной собственности (плата по договору купли-продажи земельного участка, находящегося</w:t>
              <w:br/>
              <w:t>в государственной или муниципальной собственности)</w:t>
            </w:r>
          </w:p>
        </w:tc>
        <w:tc>
          <w:tcPr>
            <w:tcW w:w="8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Постановление Правительства Камчатского края от 15.02.2016 № 35-П</w:t>
              <w:br/>
              <w:t>«Об утверждении Порядка определения цены земельных участков, находящихся</w:t>
              <w:br/>
              <w:t>в государственной собственности Камчатского края, и земельных участков, государственная собственность на которые не разграничена, при заключении договора купли-продажи таких земельных участков без проведения торгов</w:t>
              <w:br/>
              <w:t>в Камчатском крае»</w:t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использования имущества, находящегося в государственной или муниципальной собственности (арендная плата за земельный участок, находящийся в государственной или муниципальной собственности)</w:t>
            </w:r>
          </w:p>
        </w:tc>
        <w:tc>
          <w:tcPr>
            <w:tcW w:w="8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Постановление Правительства Камчатского края от 29.03.2010 № 137-П</w:t>
              <w:br/>
              <w:t>«Об определении размера арендной платы, порядка, условий и сроков внесения арендной платы за использование земельных участков, находящихся</w:t>
              <w:br/>
              <w:t>в государственной собственности Камчатского края»</w:t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Постановление Правительства Камчатского края от 16.05.2017 № 205-П</w:t>
              <w:br/>
              <w:t>«Об установлении Порядка определения размера арендной платы за земельные участки, государственная собственность на которые не разграничена, предоставленные в аренду без торгов, в Камчатском крае»</w:t>
            </w:r>
          </w:p>
        </w:tc>
      </w:tr>
      <w:tr>
        <w:trPr>
          <w:trHeight w:val="310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Плата по соглашениям об установлении сервитута, заключенным исполнительными органами субъектов Российской Федерации, государственными или муниципальными предприятиями либо государственными или муниципальными учреждениями</w:t>
              <w:br/>
              <w:t>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8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Правительства Камчатского края от 08.10.2015 №358-П</w:t>
              <w:br/>
              <w:t>«Об утверждении порядка определения платы по соглашению об установлении сервитута в отношении земельных участков, находящихся в государственной собственности Камчатского края, и земельных участков, государственная собственность на которые не разграничена, в Камчатском крае»</w:t>
            </w:r>
          </w:p>
        </w:tc>
      </w:tr>
      <w:tr>
        <w:trPr>
          <w:trHeight w:val="310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расположенных на землях лесного фонда,</w:t>
              <w:br/>
              <w:t>в части платы по договору купли-продажи лесных насаждений для собственных нужд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Постановление Правительства Камчатского края от 18.02.2008 № 27-П</w:t>
              <w:br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Об установлении для граждан ставок платы по договору купли-продажи лесных насаждений для собственных нужд (за исключением лесных насаждений, расположенных на землях особо охраняемых природных территорий федерального значения»</w:t>
            </w:r>
          </w:p>
        </w:tc>
      </w:tr>
    </w:tbl>
    <w:p>
      <w:pPr>
        <w:pStyle w:val="Normal"/>
        <w:spacing w:lineRule="auto" w:line="240" w:before="0" w:after="16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orient="landscape" w:w="16838" w:h="11906"/>
      <w:pgMar w:left="1417" w:right="850" w:gutter="0" w:header="510" w:top="1360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64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color w:themeColor="text1" w:val="000000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  <w:color w:themeColor="text1" w:val="000000"/>
      </w:rPr>
      <w:instrText xml:space="preserve"> PAGE </w:instrText>
    </w:r>
    <w:r>
      <w:rPr>
        <w:sz w:val="24"/>
        <w:szCs w:val="24"/>
        <w:rFonts w:cs="Times New Roman" w:ascii="Times New Roman" w:hAnsi="Times New Roman"/>
        <w:color w:themeColor="text1" w:val="000000"/>
      </w:rPr>
      <w:fldChar w:fldCharType="separate"/>
    </w:r>
    <w:r>
      <w:rPr>
        <w:sz w:val="24"/>
        <w:szCs w:val="24"/>
        <w:rFonts w:cs="Times New Roman" w:ascii="Times New Roman" w:hAnsi="Times New Roman"/>
        <w:color w:themeColor="text1" w:val="000000"/>
      </w:rPr>
      <w:t>3</w:t>
    </w:r>
    <w:r>
      <w:rPr>
        <w:sz w:val="24"/>
        <w:szCs w:val="24"/>
        <w:rFonts w:cs="Times New Roman" w:ascii="Times New Roman" w:hAnsi="Times New Roman"/>
        <w:color w:themeColor="text1" w:val="000000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color w:themeColor="text1" w:val="000000"/>
      </w:rPr>
    </w:pPr>
    <w:r>
      <w:rPr>
        <w:rFonts w:cs="Times New Roman" w:ascii="Times New Roman" w:hAnsi="Times New Roman"/>
        <w:color w:themeColor="text1" w:val="000000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  <w:color w:themeColor="text1" w:val="000000"/>
      </w:rPr>
      <w:instrText xml:space="preserve"> PAGE </w:instrText>
    </w:r>
    <w:r>
      <w:rPr>
        <w:sz w:val="24"/>
        <w:szCs w:val="24"/>
        <w:rFonts w:cs="Times New Roman" w:ascii="Times New Roman" w:hAnsi="Times New Roman"/>
        <w:color w:themeColor="text1" w:val="000000"/>
      </w:rPr>
      <w:fldChar w:fldCharType="separate"/>
    </w:r>
    <w:r>
      <w:rPr>
        <w:sz w:val="24"/>
        <w:szCs w:val="24"/>
        <w:rFonts w:cs="Times New Roman" w:ascii="Times New Roman" w:hAnsi="Times New Roman"/>
        <w:color w:themeColor="text1" w:val="000000"/>
      </w:rPr>
      <w:t>2</w:t>
    </w:r>
    <w:r>
      <w:rPr>
        <w:sz w:val="24"/>
        <w:szCs w:val="24"/>
        <w:rFonts w:cs="Times New Roman" w:ascii="Times New Roman" w:hAnsi="Times New Roman"/>
        <w:color w:themeColor="text1" w:val="000000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Style7" w:customStyle="1">
    <w:name w:val="Верхний колонтитул Знак"/>
    <w:basedOn w:val="1"/>
    <w:uiPriority w:val="99"/>
    <w:qFormat/>
    <w:rPr/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8" w:customStyle="1">
    <w:name w:val="Текст Знак"/>
    <w:basedOn w:val="1"/>
    <w:qFormat/>
    <w:rPr>
      <w:rFonts w:ascii="Calibri" w:hAnsi="Calibri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 w:customStyle="1">
    <w:name w:val="Footnote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Style9" w:customStyle="1">
    <w:name w:val="Подзаголовок Знак"/>
    <w:qFormat/>
    <w:rPr>
      <w:rFonts w:ascii="XO Thames" w:hAnsi="XO Thames"/>
      <w:i/>
      <w:sz w:val="24"/>
    </w:rPr>
  </w:style>
  <w:style w:type="character" w:styleId="Style10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Style11" w:customStyle="1">
    <w:name w:val="Название Знак"/>
    <w:qFormat/>
    <w:rPr>
      <w:rFonts w:ascii="XO Thames" w:hAnsi="XO Thames"/>
      <w:b/>
      <w:caps/>
      <w:sz w:val="40"/>
    </w:rPr>
  </w:style>
  <w:style w:type="character" w:styleId="Style12" w:customStyle="1">
    <w:name w:val="Текст выноски Знак"/>
    <w:basedOn w:val="1"/>
    <w:qFormat/>
    <w:rPr>
      <w:rFonts w:ascii="Segoe UI" w:hAnsi="Segoe UI"/>
      <w:sz w:val="18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OC2">
    <w:name w:val="TOC 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5" w:customStyle="1">
    <w:name w:val="Колонтитул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6">
    <w:name w:val="TOC 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themeColor="hyperlink" w:val="0563C1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ListParagraph1">
    <w:name w:val="List Paragraph1"/>
    <w:basedOn w:val="Normal"/>
    <w:qFormat/>
    <w:pPr>
      <w:spacing w:before="0" w:after="160"/>
      <w:ind w:left="720"/>
      <w:contextualSpacing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76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6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6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6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9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9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9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9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9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9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0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0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0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80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0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0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0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0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0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0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1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2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2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2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2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3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3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4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4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4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4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5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5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5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5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5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5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6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6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6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6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6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6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6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6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6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7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7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7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7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7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7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7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7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7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7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8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8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8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8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8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8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8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Application>LibreOffice/7.6.7.2$Linux_X86_64 LibreOffice_project/60$Build-2</Application>
  <AppVersion>15.0000</AppVersion>
  <Pages>3</Pages>
  <Words>515</Words>
  <Characters>3880</Characters>
  <CharactersWithSpaces>4350</CharactersWithSpaces>
  <Paragraphs>44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2025-01-31T01:52:00Z</dcterms:created>
  <dc:creator>Лосев Дмитрий Игоревич</dc:creator>
  <dc:description/>
  <dc:language>ru-RU</dc:language>
  <cp:lastModifiedBy/>
  <cp:lastPrinted>2025-11-19T13:51:36Z</cp:lastPrinted>
  <dcterms:modified xsi:type="dcterms:W3CDTF">2025-11-19T14:23:55Z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