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 приостановлении действия постановления Правительства Камчатского края от 04.07.2025 № 298-П «</w:t>
      </w: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Правительства Камчатского края от 01.10.2020 № 387-П «Об установлении расходных </w:t>
      </w:r>
      <w:r>
        <w:rPr>
          <w:rFonts w:ascii="Times New Roman" w:hAnsi="Times New Roman"/>
          <w:b w:val="1"/>
          <w:sz w:val="28"/>
        </w:rPr>
        <w:t>обязательств Камчатского края по предоставлению мер социальной поддержки по оплате за жилое помещение и (или) коммунальные услуги гражданам, которым присвоен статус «дети войны», проживающим по месту жительства на территории</w:t>
      </w:r>
    </w:p>
    <w:p w14:paraId="0F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края»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1. Приостановить до 31 января 2026 года </w:t>
      </w:r>
      <w:r>
        <w:rPr>
          <w:rFonts w:ascii="Times New Roman" w:hAnsi="Times New Roman"/>
          <w:b w:val="0"/>
          <w:sz w:val="28"/>
        </w:rPr>
        <w:t>действие постановления Правительства Камчатского края от 04.07.2025 № 298-П «</w:t>
      </w:r>
      <w:r>
        <w:rPr>
          <w:rFonts w:ascii="Times New Roman" w:hAnsi="Times New Roman"/>
          <w:b w:val="0"/>
          <w:sz w:val="28"/>
        </w:rPr>
        <w:t xml:space="preserve">О внесении изменений в постановление Правительства Камчатского края от 01.10.2020 </w:t>
      </w:r>
      <w:r>
        <w:br/>
      </w:r>
      <w:r>
        <w:rPr>
          <w:rFonts w:ascii="Times New Roman" w:hAnsi="Times New Roman"/>
          <w:b w:val="0"/>
          <w:sz w:val="28"/>
        </w:rPr>
        <w:t xml:space="preserve">№ 387-П «Об установлении расходных </w:t>
      </w:r>
      <w:r>
        <w:rPr>
          <w:rFonts w:ascii="Times New Roman" w:hAnsi="Times New Roman"/>
          <w:b w:val="0"/>
          <w:sz w:val="28"/>
        </w:rPr>
        <w:t xml:space="preserve">обязательств Камчатского края по предоставлению мер социальной поддержки по оплате за жилое помещение и (или) коммунальные услуги гражданам, которым присвоен статус «дети войны», проживающим по месту жительства на территории </w:t>
      </w:r>
      <w:r>
        <w:rPr>
          <w:rFonts w:ascii="Times New Roman" w:hAnsi="Times New Roman"/>
          <w:b w:val="0"/>
          <w:sz w:val="28"/>
        </w:rPr>
        <w:t>Камчатского края»</w:t>
      </w:r>
      <w:r>
        <w:rPr>
          <w:rFonts w:ascii="Times New Roman" w:hAnsi="Times New Roman"/>
          <w:sz w:val="28"/>
        </w:rPr>
        <w:t>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pacing w:val="4"/>
          <w:sz w:val="28"/>
        </w:rPr>
      </w:pPr>
      <w:r>
        <w:rPr>
          <w:rFonts w:ascii="Times New Roman" w:hAnsi="Times New Roman"/>
          <w:spacing w:val="4"/>
          <w:sz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</w:t>
      </w:r>
      <w:r>
        <w:br/>
      </w:r>
      <w:r>
        <w:rPr>
          <w:rFonts w:ascii="Times New Roman" w:hAnsi="Times New Roman"/>
          <w:spacing w:val="4"/>
          <w:sz w:val="28"/>
        </w:rPr>
        <w:t>с 1 октября 2025 года.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8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Исполняющий обязанности Председателя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9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D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С.В. Нехаев</w:t>
            </w:r>
          </w:p>
        </w:tc>
      </w:tr>
    </w:tbl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Plain Text"/>
    <w:basedOn w:val="Style_2"/>
    <w:link w:val="Style_9_ch"/>
    <w:pPr>
      <w:spacing w:after="0" w:line="240" w:lineRule="auto"/>
      <w:ind/>
    </w:pPr>
    <w:rPr>
      <w:rFonts w:ascii="Calibri" w:hAnsi="Calibri"/>
    </w:rPr>
  </w:style>
  <w:style w:styleId="Style_9_ch" w:type="character">
    <w:name w:val="Plain Text"/>
    <w:basedOn w:val="Style_2_ch"/>
    <w:link w:val="Style_9"/>
    <w:rPr>
      <w:rFonts w:ascii="Calibri" w:hAnsi="Calibri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header"/>
    <w:basedOn w:val="Style_2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Гиперссылка1"/>
    <w:basedOn w:val="Style_14"/>
    <w:link w:val="Style_13_ch"/>
    <w:rPr>
      <w:color w:themeColor="hyperlink" w:val="0563C1"/>
      <w:u w:val="single"/>
    </w:rPr>
  </w:style>
  <w:style w:styleId="Style_13_ch" w:type="character">
    <w:name w:val="Гиперссылка1"/>
    <w:basedOn w:val="Style_14_ch"/>
    <w:link w:val="Style_13"/>
    <w:rPr>
      <w:color w:themeColor="hyperlink" w:val="0563C1"/>
      <w:u w:val="single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22" w:type="paragraph">
    <w:name w:val="toc 8"/>
    <w:next w:val="Style_2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oter"/>
    <w:basedOn w:val="Style_2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footer"/>
    <w:basedOn w:val="Style_2_ch"/>
    <w:link w:val="Style_23"/>
    <w:rPr>
      <w:rFonts w:ascii="Times New Roman" w:hAnsi="Times New Roman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2025-10-20T00:16:44Z</dcterms:modified>
</cp:coreProperties>
</file>