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63" y="0"/>
                <wp:lineTo x="-63" y="20835"/>
                <wp:lineTo x="20905" y="20835"/>
                <wp:lineTo x="20905" y="0"/>
                <wp:lineTo x="-63" y="0"/>
              </wp:wrapPolygon>
            </wp:wrapTight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hyperlink r:id="rId3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>Правительства Камчатского края</w:t>
        </w:r>
      </w:hyperlink>
      <w:hyperlink r:id="rId4">
        <w:r>
          <w:rPr>
            <w:rStyle w:val="ListLabel2"/>
            <w:rFonts w:ascii="Times New Roman" w:hAnsi="Times New Roman"/>
            <w:b w:val="false"/>
            <w:strike w:val="false"/>
            <w:dstrike w:val="false"/>
            <w:color w:val="000000"/>
            <w:sz w:val="24"/>
          </w:rPr>
          <w:t xml:space="preserve"> 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 xml:space="preserve">от 23.09.2024 № 465-П «Об утверждении Порядка предоставления </w:t>
      </w:r>
      <w:r>
        <w:rPr/>
        <w:br/>
      </w:r>
      <w:hyperlink r:id="rId5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 xml:space="preserve"> </w:t>
      </w:r>
      <w:hyperlink r:id="rId6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 xml:space="preserve"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</w:t>
          <w:br/>
          <w:t>и проведения отбора получателей субсидии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>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b w:val="false"/>
          <w:sz w:val="28"/>
        </w:rPr>
        <w:t xml:space="preserve"> постановление Правительства Камчатского края </w:t>
      </w:r>
      <w:hyperlink r:id="rId7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от 23.09.2024 № 465-П «Об утверждении Порядка предоставления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8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9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sz w:val="28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в наименовании слова «в 2024–2027 годах» заменить словами </w:t>
        <w:br/>
        <w:t>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</w:rPr>
        <w:t xml:space="preserve">2) </w:t>
      </w:r>
      <w:r>
        <w:rPr>
          <w:rFonts w:ascii="Times New Roman" w:hAnsi="Times New Roman"/>
          <w:sz w:val="28"/>
        </w:rPr>
        <w:t>в части 1 слова «в 2024–2027 годах» заменить словами 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приложении: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наименовании слова «в 2024–2027 годах» заменить словами </w:t>
        <w:br/>
        <w:t>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1 слова «в 2024–2027 годах» заменить словами 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 части 2 слова «как до получателя бюджетных средств доведены в установленном порядке лимиты бюджетных обязательств на предоставление субсидий </w:t>
      </w:r>
      <w:r>
        <w:rPr>
          <w:rFonts w:ascii="Times New Roman" w:hAnsi="Times New Roman"/>
          <w:strike w:val="false"/>
          <w:dstrike w:val="false"/>
          <w:sz w:val="28"/>
        </w:rPr>
        <w:t>в 2024–2027 годах</w:t>
      </w:r>
      <w:r>
        <w:rPr>
          <w:rFonts w:ascii="Times New Roman" w:hAnsi="Times New Roman"/>
          <w:sz w:val="28"/>
        </w:rPr>
        <w:t>» заменить словами «как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 угловом реквизите приложения 1 к </w:t>
      </w:r>
      <w:r>
        <w:rPr>
          <w:rFonts w:ascii="Times New Roman" w:hAnsi="Times New Roman"/>
          <w:color w:val="000000"/>
          <w:sz w:val="28"/>
          <w:u w:val="none"/>
        </w:rPr>
        <w:t>Порядку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trike w:val="false"/>
          <w:dstrike w:val="false"/>
          <w:sz w:val="28"/>
        </w:rPr>
        <w:t>в 2024–2027 годах</w:t>
      </w:r>
      <w:r>
        <w:rPr>
          <w:rFonts w:ascii="Times New Roman" w:hAnsi="Times New Roman"/>
          <w:sz w:val="28"/>
        </w:rPr>
        <w:t xml:space="preserve"> 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 слова «в 2024–2027 годах» заменить словами 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 угловом реквизите приложения 2 к </w:t>
      </w:r>
      <w:r>
        <w:rPr>
          <w:rFonts w:ascii="Times New Roman" w:hAnsi="Times New Roman"/>
          <w:color w:val="000000"/>
          <w:sz w:val="28"/>
          <w:u w:val="none"/>
        </w:rPr>
        <w:t>Порядку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trike w:val="false"/>
          <w:dstrike w:val="false"/>
          <w:sz w:val="28"/>
        </w:rPr>
        <w:t>в 2024–2027 годах</w:t>
      </w:r>
      <w:r>
        <w:rPr>
          <w:rFonts w:ascii="Times New Roman" w:hAnsi="Times New Roman"/>
          <w:sz w:val="28"/>
        </w:rPr>
        <w:t xml:space="preserve"> 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 слова «в 2024–2027 годах» заменить словами 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в приложении 3 к </w:t>
      </w:r>
      <w:r>
        <w:rPr>
          <w:rFonts w:ascii="Times New Roman" w:hAnsi="Times New Roman"/>
          <w:color w:val="000000"/>
          <w:sz w:val="28"/>
          <w:u w:val="none"/>
        </w:rPr>
        <w:t>Порядку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trike w:val="false"/>
          <w:dstrike w:val="false"/>
          <w:sz w:val="28"/>
        </w:rPr>
        <w:t>в 2024–2027 годах</w:t>
      </w:r>
      <w:r>
        <w:rPr>
          <w:rFonts w:ascii="Times New Roman" w:hAnsi="Times New Roman"/>
          <w:sz w:val="28"/>
        </w:rPr>
        <w:t xml:space="preserve"> 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угловом реквизите слова «в 2024–2027 годах» заменить словами </w:t>
        <w:br/>
        <w:t>«в 2026–2028 годах»;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строку 13 изложить в следующей редакции: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2"/>
        <w:tblW w:w="963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"/>
        <w:gridCol w:w="1591"/>
        <w:gridCol w:w="2621"/>
        <w:gridCol w:w="2032"/>
        <w:gridCol w:w="2945"/>
      </w:tblGrid>
      <w:tr>
        <w:trPr>
          <w:trHeight w:val="588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13.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Ответы на вопросы при защите бизнес-проекта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100–0,</w:t>
              <w:br/>
              <w:t xml:space="preserve">где 100 – максимальный балл (ответы на вопросы хорошо аргументированы и демонстрируют осведомленность в теме), </w:t>
            </w:r>
            <w:r>
              <w:rPr>
                <w:kern w:val="0"/>
                <w:sz w:val="22"/>
                <w:szCs w:val="20"/>
              </w:rPr>
              <w:br/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 – минимальный балл (участник отбора не смог принять участие в защите проекта, ответы на вопросы не аргументированы)</w:t>
            </w:r>
          </w:p>
        </w:tc>
      </w:tr>
      <w:tr>
        <w:trPr>
          <w:trHeight w:val="588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  <w:tr>
        <w:trPr>
          <w:trHeight w:val="172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предоставление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субсидии, предоставленной в соответствии с Порядком</w:t>
      </w:r>
      <w:hyperlink r:id="rId10">
        <w:r>
          <w:rPr>
            <w:rStyle w:val="ListLabel4"/>
            <w:rFonts w:ascii="Times New Roman" w:hAnsi="Times New Roman"/>
            <w:b w:val="false"/>
            <w:color w:val="000000"/>
            <w:sz w:val="28"/>
            <w:u w:val="none"/>
          </w:rPr>
          <w:t xml:space="preserve"> </w:t>
        </w:r>
      </w:hyperlink>
      <w:hyperlink r:id="rId11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предоставления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2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3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</w:t>
        </w:r>
      </w:hyperlink>
      <w:r>
        <w:rPr>
          <w:rFonts w:ascii="Times New Roman" w:hAnsi="Times New Roman"/>
          <w:sz w:val="28"/>
        </w:rPr>
        <w:t>, утвержденным постановлением Правительства Камчатского края от</w:t>
      </w:r>
      <w:hyperlink r:id="rId14">
        <w:r>
          <w:rPr>
            <w:rStyle w:val="ListLabel4"/>
            <w:rFonts w:ascii="Times New Roman" w:hAnsi="Times New Roman"/>
            <w:b w:val="false"/>
            <w:color w:val="000000"/>
            <w:sz w:val="28"/>
            <w:u w:val="none"/>
          </w:rPr>
          <w:t xml:space="preserve"> 23.09.2024 № 465-П</w:t>
        </w:r>
      </w:hyperlink>
      <w:r>
        <w:rPr>
          <w:rFonts w:ascii="Times New Roman" w:hAnsi="Times New Roman"/>
          <w:sz w:val="28"/>
        </w:rPr>
        <w:t xml:space="preserve"> </w:t>
      </w:r>
      <w:r>
        <w:rPr/>
        <w:br/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70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4"/>
        <w:gridCol w:w="3546"/>
        <w:gridCol w:w="2550"/>
      </w:tblGrid>
      <w:tr>
        <w:trPr>
          <w:trHeight w:val="1657" w:hRule="atLeast"/>
        </w:trPr>
        <w:tc>
          <w:tcPr>
            <w:tcW w:w="357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Временно исполняющий обязанности Председателя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</w:tc>
        <w:tc>
          <w:tcPr>
            <w:tcW w:w="354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15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64" w:before="0" w:after="16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635" r="0" b="0"/>
              <wp:wrapSquare wrapText="bothSides"/>
              <wp:docPr id="2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fillcolor="white" stroked="f" o:allowincell="f" style="position:absolute;margin-left:238.05pt;margin-top:0.05pt;width:5.6pt;height:13.3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237.35pt;margin-top:0.05pt;width:7pt;height:15.9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0.05pt;mso-position-vertical-relative:text;margin-left:237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instrText xml:space="preserve"> PAGE \* ARABIC </w:instrTex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t>3</w: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Internetlink1">
    <w:name w:val="Internet link1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Header12">
    <w:name w:val="Header12"/>
    <w:link w:val="Header1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ing31">
    <w:name w:val="Heading 31"/>
    <w:link w:val="Heading311"/>
    <w:qFormat/>
    <w:rPr>
      <w:rFonts w:ascii="XO Thames" w:hAnsi="XO Thames"/>
      <w:b/>
      <w:color w:val="000000"/>
      <w:spacing w:val="0"/>
      <w:sz w:val="26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BalloonText11">
    <w:name w:val="Balloon Text11"/>
    <w:link w:val="BalloonText111"/>
    <w:qFormat/>
    <w:rPr>
      <w:rFonts w:ascii="Segoe UI" w:hAnsi="Segoe UI"/>
      <w:sz w:val="1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3">
    <w:name w:val="Contents 3"/>
    <w:link w:val="Contents33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PlainText11">
    <w:name w:val="Plain Text11"/>
    <w:link w:val="PlainText111"/>
    <w:qFormat/>
    <w:rPr>
      <w:rFonts w:ascii="Calibri" w:hAnsi="Calibri"/>
    </w:rPr>
  </w:style>
  <w:style w:type="character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styleId="Internetlink2">
    <w:name w:val="Internet link2"/>
    <w:link w:val="Internetlink21"/>
    <w:qFormat/>
    <w:rPr>
      <w:rFonts w:ascii="Calibri" w:hAnsi="Calibri"/>
      <w:color w:val="0000FF"/>
      <w:spacing w:val="0"/>
      <w:sz w:val="22"/>
      <w:u w:val="single"/>
    </w:rPr>
  </w:style>
  <w:style w:type="character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12"/>
    <w:qFormat/>
    <w:rPr/>
  </w:style>
  <w:style w:type="character" w:styleId="List1">
    <w:name w:val="List1"/>
    <w:basedOn w:val="Textbody1"/>
    <w:link w:val="List11"/>
    <w:qFormat/>
    <w:rPr/>
  </w:style>
  <w:style w:type="character" w:styleId="Caption1">
    <w:name w:val="Caption1"/>
    <w:link w:val="Caption11"/>
    <w:qFormat/>
    <w:rPr>
      <w:i/>
      <w:sz w:val="24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11">
    <w:name w:val="Колонтитул1"/>
    <w:link w:val="113"/>
    <w:qFormat/>
    <w:rPr>
      <w:rFonts w:ascii="XO Thames" w:hAnsi="XO Thames"/>
      <w:color w:val="000000"/>
      <w:spacing w:val="0"/>
      <w:sz w:val="20"/>
    </w:rPr>
  </w:style>
  <w:style w:type="character" w:styleId="Heading512">
    <w:name w:val="Heading 512"/>
    <w:link w:val="Heading5121"/>
    <w:qFormat/>
    <w:rPr>
      <w:rFonts w:ascii="XO Thames" w:hAnsi="XO Thames"/>
      <w:b/>
      <w:color w:val="000000"/>
      <w:spacing w:val="0"/>
      <w:sz w:val="22"/>
    </w:rPr>
  </w:style>
  <w:style w:type="character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List2">
    <w:name w:val="List2"/>
    <w:basedOn w:val="Textbody"/>
    <w:qFormat/>
    <w:rPr/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Caption2">
    <w:name w:val="Caption2"/>
    <w:qFormat/>
    <w:rPr>
      <w:i/>
      <w:sz w:val="24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styleId="Header11">
    <w:name w:val="Header11"/>
    <w:link w:val="Header13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styleId="111">
    <w:name w:val="Основной шрифт абзаца111"/>
    <w:link w:val="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styleId="1111">
    <w:name w:val="Гиперссылка111"/>
    <w:basedOn w:val="111"/>
    <w:link w:val="11112"/>
    <w:qFormat/>
    <w:rPr>
      <w:color w:themeColor="hyperlink" w:val="0563C1"/>
      <w:u w:val="single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styleId="Footer12">
    <w:name w:val="Footer12"/>
    <w:link w:val="Footer121"/>
    <w:qFormat/>
    <w:rPr>
      <w:rFonts w:ascii="Times New Roman" w:hAnsi="Times New Roman"/>
      <w:color w:val="000000"/>
      <w:spacing w:val="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Heading112">
    <w:name w:val="Heading 112"/>
    <w:link w:val="Heading1121"/>
    <w:qFormat/>
    <w:rPr>
      <w:rFonts w:ascii="XO Thames" w:hAnsi="XO Thames"/>
      <w:b/>
      <w:color w:val="000000"/>
      <w:spacing w:val="0"/>
      <w:sz w:val="32"/>
    </w:rPr>
  </w:style>
  <w:style w:type="character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Heading511">
    <w:name w:val="Heading 511"/>
    <w:link w:val="Heading513"/>
    <w:qFormat/>
    <w:rPr>
      <w:rFonts w:ascii="XO Thames" w:hAnsi="XO Thames"/>
      <w:b/>
      <w:color w:val="000000"/>
      <w:spacing w:val="0"/>
      <w:sz w:val="22"/>
    </w:rPr>
  </w:style>
  <w:style w:type="character" w:styleId="Textbody1">
    <w:name w:val="Text body1"/>
    <w:link w:val="Textbody2"/>
    <w:qFormat/>
    <w:rPr/>
  </w:style>
  <w:style w:type="character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styleId="1112">
    <w:name w:val="Обычный111"/>
    <w:link w:val="1111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12">
    <w:name w:val="Заголовок1"/>
    <w:link w:val="114"/>
    <w:qFormat/>
    <w:rPr>
      <w:rFonts w:ascii="Open Sans" w:hAnsi="Open Sans"/>
      <w:sz w:val="28"/>
    </w:rPr>
  </w:style>
  <w:style w:type="character" w:styleId="13">
    <w:name w:val="Содержимое врезки1"/>
    <w:link w:val="115"/>
    <w:qFormat/>
    <w:rPr/>
  </w:style>
  <w:style w:type="character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DefaultParagraphFont11">
    <w:name w:val="Default Paragraph Font11"/>
    <w:link w:val="DefaultParagraphFont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Internetlink11">
    <w:name w:val="Internet link11"/>
    <w:link w:val="Internetlink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21">
    <w:name w:val="Header121"/>
    <w:link w:val="Header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1">
    <w:name w:val="Heading 311"/>
    <w:link w:val="Heading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BalloonText111">
    <w:name w:val="Balloon Text111"/>
    <w:basedOn w:val="Normal"/>
    <w:link w:val="BalloonText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Footnote111">
    <w:name w:val="Footnote111"/>
    <w:link w:val="Footnote1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3">
    <w:name w:val="Contents 33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1">
    <w:name w:val="Plain Text111"/>
    <w:basedOn w:val="Normal"/>
    <w:link w:val="PlainText11"/>
    <w:qFormat/>
    <w:pPr>
      <w:spacing w:lineRule="auto" w:line="240" w:before="0" w:after="0"/>
    </w:pPr>
    <w:rPr>
      <w:rFonts w:ascii="Calibri" w:hAnsi="Calibri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23">
    <w:name w:val="Contents 23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/>
  </w:style>
  <w:style w:type="paragraph" w:styleId="List11">
    <w:name w:val="List11"/>
    <w:basedOn w:val="Textbody2"/>
    <w:link w:val="List1"/>
    <w:qFormat/>
    <w:pPr/>
    <w:rPr/>
  </w:style>
  <w:style w:type="paragraph" w:styleId="Caption11">
    <w:name w:val="Caption11"/>
    <w:link w:val="Caption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3">
    <w:name w:val="Contents 73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113">
    <w:name w:val="Колонтитул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1">
    <w:name w:val="Heading 5121"/>
    <w:link w:val="Heading5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3">
    <w:name w:val="Contents 63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3">
    <w:name w:val="Header13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1">
    <w:name w:val="Основной шрифт абзаца1111"/>
    <w:link w:val="1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">
    <w:name w:val="Contents 421"/>
    <w:link w:val="Contents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2">
    <w:name w:val="Гиперссылка1111"/>
    <w:basedOn w:val="11111"/>
    <w:link w:val="1111"/>
    <w:qFormat/>
    <w:pPr/>
    <w:rPr>
      <w:color w:themeColor="hyperlink" w:val="0563C1"/>
      <w:u w:val="single"/>
    </w:rPr>
  </w:style>
  <w:style w:type="paragraph" w:styleId="Heading4111">
    <w:name w:val="Heading 4111"/>
    <w:link w:val="Heading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21">
    <w:name w:val="Footer121"/>
    <w:link w:val="Footer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721">
    <w:name w:val="Contents 721"/>
    <w:link w:val="Contents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1">
    <w:name w:val="Heading 1121"/>
    <w:link w:val="Heading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">
    <w:name w:val="Heading 3121"/>
    <w:link w:val="Heading3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513">
    <w:name w:val="Heading 513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3">
    <w:name w:val="Обычный1111"/>
    <w:link w:val="1112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4">
    <w:name w:val="Заголовок11"/>
    <w:basedOn w:val="Normal"/>
    <w:next w:val="BodyText"/>
    <w:link w:val="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5">
    <w:name w:val="Содержимое врезки11"/>
    <w:basedOn w:val="Normal"/>
    <w:link w:val="13"/>
    <w:qFormat/>
    <w:pPr/>
    <w:rPr/>
  </w:style>
  <w:style w:type="paragraph" w:styleId="Contents511">
    <w:name w:val="Contents 511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2">
    <w:name w:val="Содержимое врезки"/>
    <w:basedOn w:val="Normal"/>
    <w:qFormat/>
    <w:pPr/>
    <w:rPr/>
  </w:style>
  <w:style w:type="table" w:styleId="Style_80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1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82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internet.garant.ru/document/redirect/410404101/0" TargetMode="External"/><Relationship Id="rId4" Type="http://schemas.openxmlformats.org/officeDocument/2006/relationships/hyperlink" Target="https://internet.garant.ru/document/redirect/410428043/0" TargetMode="External"/><Relationship Id="rId5" Type="http://schemas.openxmlformats.org/officeDocument/2006/relationships/hyperlink" Target="https://internet.garant.ru/document/redirect/410428043/0" TargetMode="External"/><Relationship Id="rId6" Type="http://schemas.openxmlformats.org/officeDocument/2006/relationships/hyperlink" Target="https://internet.garant.ru/document/redirect/410428043/0" TargetMode="External"/><Relationship Id="rId7" Type="http://schemas.openxmlformats.org/officeDocument/2006/relationships/hyperlink" Target="https://internet.garant.ru/document/redirect/410428043/0" TargetMode="External"/><Relationship Id="rId8" Type="http://schemas.openxmlformats.org/officeDocument/2006/relationships/hyperlink" Target="https://internet.garant.ru/document/redirect/410428043/0" TargetMode="External"/><Relationship Id="rId9" Type="http://schemas.openxmlformats.org/officeDocument/2006/relationships/hyperlink" Target="https://internet.garant.ru/document/redirect/410428043/0" TargetMode="External"/><Relationship Id="rId10" Type="http://schemas.openxmlformats.org/officeDocument/2006/relationships/hyperlink" Target="https://internet.garant.ru/document/redirect/410404105/0" TargetMode="External"/><Relationship Id="rId11" Type="http://schemas.openxmlformats.org/officeDocument/2006/relationships/hyperlink" Target="https://internet.garant.ru/document/redirect/410428043/0" TargetMode="External"/><Relationship Id="rId12" Type="http://schemas.openxmlformats.org/officeDocument/2006/relationships/hyperlink" Target="https://internet.garant.ru/document/redirect/410428043/0" TargetMode="External"/><Relationship Id="rId13" Type="http://schemas.openxmlformats.org/officeDocument/2006/relationships/hyperlink" Target="https://internet.garant.ru/document/redirect/410428043/0" TargetMode="External"/><Relationship Id="rId14" Type="http://schemas.openxmlformats.org/officeDocument/2006/relationships/hyperlink" Target="https://internet.garant.ru/document/redirect/410404105/0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3</Pages>
  <Words>574</Words>
  <Characters>3680</Characters>
  <CharactersWithSpaces>4332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2025-10-20T14:15:12Z</dcterms:modified>
  <cp:revision>1</cp:revision>
  <dc:subject/>
  <dc:title/>
</cp:coreProperties>
</file>