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22.05.2017 № 212-П «Об утверждении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  <w:tab/>
        <w:t>Внести в постановление Правительства Камчатского края от 22.05.2017 № 212-П «Об утверждении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 следующие изменения: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 w:left="0" w:right="0"/>
        <w:jc w:val="center"/>
        <w:rPr>
          <w:b/>
        </w:rPr>
      </w:pPr>
      <w:r>
        <w:rPr>
          <w:rFonts w:ascii="Times New Roman" w:hAnsi="Times New Roman"/>
          <w:b/>
          <w:sz w:val="28"/>
        </w:rPr>
        <w:t>«Об утверждении Порядка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стоимость»</w:t>
      </w:r>
      <w:r>
        <w:rPr>
          <w:rFonts w:ascii="Times New Roman" w:hAnsi="Times New Roman"/>
          <w:b w:val="false"/>
          <w:sz w:val="28"/>
        </w:rPr>
        <w:t>;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 w:left="0" w:right="0"/>
        <w:jc w:val="both"/>
        <w:rPr>
          <w:b/>
        </w:rPr>
      </w:pPr>
      <w:r>
        <w:rPr>
          <w:rFonts w:ascii="Times New Roman" w:hAnsi="Times New Roman"/>
          <w:b w:val="false"/>
          <w:sz w:val="28"/>
        </w:rPr>
        <w:t>2) преамбулу изложить в следующей редакции: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 w:left="0" w:right="0"/>
        <w:jc w:val="both"/>
        <w:rPr>
          <w:b/>
        </w:rPr>
      </w:pPr>
      <w:r>
        <w:rPr>
          <w:rFonts w:ascii="Times New Roman" w:hAnsi="Times New Roman"/>
          <w:b w:val="false"/>
          <w:sz w:val="28"/>
        </w:rPr>
        <w:t>«В соответствии с пунктом 9 статьи 378</w:t>
      </w:r>
      <w:r>
        <w:rPr>
          <w:rFonts w:ascii="Times New Roman" w:hAnsi="Times New Roman"/>
          <w:b w:val="false"/>
          <w:sz w:val="28"/>
          <w:vertAlign w:val="superscript"/>
        </w:rPr>
        <w:t>2</w:t>
      </w:r>
      <w:r>
        <w:rPr>
          <w:rFonts w:ascii="Times New Roman" w:hAnsi="Times New Roman"/>
          <w:b w:val="false"/>
          <w:sz w:val="28"/>
        </w:rPr>
        <w:t xml:space="preserve"> Налогового кодекса Российской Федерации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ПРАВИТЕЛЬСТВО ПОСТАНОВЛЯЕТ:»;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3) постановляющую часть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«1. Утвердить Порядок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стоимость.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2. Рекомендовать главам администраций городских, муниципальных округов и муниципальных районов в Камчатском крае оказывать содействие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Министерству имущественных и земельных отношений Камчатского края в проведении мероприятий по определению вида фактического использования зданий (строений, сооружений) и помещений, расположенных на территориях муниципальных образований в Камчатском крае, в отношении которых налоговая база определяется как кадастровая стоимость.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3. Настоящее постановление вступает в силу через 10 дней после дня его официального опубликования.»;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4) приложение изложить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7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3"/>
        <w:gridCol w:w="2553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Камчатского края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57" w:right="0"/>
              <w:jc w:val="left"/>
              <w:rPr>
                <w:spacing w:val="0"/>
                <w:sz w:val="22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Ю.С. Морозова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7" w:right="850" w:gutter="0" w:header="1134" w:top="1739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tbl>
      <w:tblPr>
        <w:tblStyle w:val="Style_4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477"/>
        <w:gridCol w:w="488"/>
        <w:gridCol w:w="3667"/>
        <w:gridCol w:w="478"/>
        <w:gridCol w:w="1886"/>
        <w:gridCol w:w="484"/>
        <w:gridCol w:w="1678"/>
      </w:tblGrid>
      <w:tr>
        <w:trPr/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rPr/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 xml:space="preserve">«Приложение к постановлению </w:t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>от 22.05.2017 № 212-П</w:t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регулирует вопросы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 (далее – объекты недвижимости).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 Определение вида фактического использования объектов недвижимости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осуществляется в соответствии с условиями, установленными пунктами 3–5 статьи 378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vertAlign w:val="superscript"/>
        </w:rPr>
        <w:t>2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Налогового кодекса Российской Федерации </w:t>
      </w:r>
      <w:r>
        <w:rPr>
          <w:rFonts w:ascii="Times New Roman" w:hAnsi="Times New Roman"/>
          <w:sz w:val="28"/>
        </w:rPr>
        <w:t>по результатам мероприятий, проведенных в соответствии с настоящим Порядком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Исполнительным органом Камчатского края, уполномоченным на определение вида фактического использования объектов недвижимости, является Министерство имущественных и земельных отношений Камчатского края (далее – уполномоченный орган).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Порядок организации деятельности комиссии по определению вида фактического использования объектов недвижимости</w:t>
      </w:r>
    </w:p>
    <w:p>
      <w:pPr>
        <w:pStyle w:val="Normal"/>
        <w:spacing w:lineRule="auto" w:line="240" w:before="0" w:after="0"/>
        <w:ind w:firstLine="68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 Мероприятия по определению вида фактического использования объектов недвижимости осуществляются постоянно действующей комиссией по определению вида фактического использования объектов недвижимого имущества, в отношении которых налоговая база определяется как кадастровая стоимость, создаваемой уполномоченным органом на территориях городских, муниципальных округов и муниципальных районов в Камчатском </w:t>
        <w:br/>
        <w:t>крае (далее – комиссия).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>5. Состав комиссии формируется из числа представителей органов местного самоуправления муниципальных образований в Камчатском крае, муниципальных унитарных предприятий и муниципальных учреждений, в ее состав по согласованию также могут входить представители исполнительных органов Камчатского края и иных организаций.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 Состав комиссии утверждается приказом уполномоченного органа и размещается на официальном сайте исполнительных органов Камчатского края на странице уполномоченного органа в информационно-телекоммуникационной сети «Интернет» (далее – официальный сайт уполномоченного органа) в течение 7 рабочих дней со дня утверждения.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7. Комиссия состоит из председателя, заместителя председателя, секретаря и членов комиссии. Количественный состав комиссии не может быть </w:t>
        <w:br/>
        <w:t>менее 5 человек.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8. Комиссия осуществляет свою деятельность в форме заседаний и обследований объектов недвижимости в целях определения вида их фактического использования.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Заседания комиссии проводятся не реже одного раза в месяц и являются правомочными при участии в них не менее половины от общего числа членов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10. Заседания комиссии проводятся председателем комиссии либо по указанию председателя комиссии его заместителем.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11. Председатель комиссии: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1) осуществляет руководство деятельностью комиссии;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2) назначает заседания комиссии;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3) проводит заседания комиссии, подписывает протоколы заседаний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12. В отсутствие председателя комиссии его функции осуществляет заместитель председателя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13. Секретарь комиссии обладает правом голоса и осуществляет следующие функции: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1) организует подготовку заседаний комиссии;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2) не позднее 5 рабочих дней до дня проведения заседания комиссии обеспечивает информирование членов комиссии о дате, месте и времени проведения заседания комиссии, о вопросах, включенных в повестку дня заседания комиссии;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3) ведет протоколы заседаний комиссии;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4) подписывает протоколы заседаний комиссии;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5) осуществляет иные функции, связанные с организационной деятельностью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14. В период отсутствия секретаря комиссии его функции выполняет лицо, избранное на заседании комиссии простым большинством голосов.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15. Члены комиссии: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1) выражают мнение по вопросам, вынесенным для рассмотрения на заседание комиссии;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2) голосуют по вопросам повестки заседания комиссии. 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16. Комиссия в своей деятельности руководствуется законодательством Российской Федерации, иными нормативными правовыми актами Российской Федерации, законодательством Камчатского края, иными нормативными правовыми актами Камчатского края, а также настоящим Порядком.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17. Полномочия комиссии: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1) рассмотрение результатов обследования объектов недвижимости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в срок, не превышающий 10 рабочих дней со дня проведения </w:t>
      </w:r>
      <w:r>
        <w:rPr>
          <w:rFonts w:ascii="Times New Roman" w:hAnsi="Times New Roman"/>
          <w:b w:val="false"/>
          <w:sz w:val="28"/>
        </w:rPr>
        <w:t>обследования;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2) подписание протоколов, формируемых в процессе рассмотрения результатов обследования объектов недвижимости, содержащих информацию о принятых комиссией решениях.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18. Комиссия принимает решения в виде предложений (рекомендаций) уполномоченному органу о включении (не включении) конкретных </w:t>
        <w:br/>
        <w:t xml:space="preserve">объектов недвижимости в перечень объектов недвижимого имущества, </w:t>
        <w:br/>
        <w:t xml:space="preserve">в отношении которых налоговая база определяется как кадастровая </w:t>
        <w:br/>
        <w:t>стоимость (далее – перечень), а также об исключении объектов недвижимости из перечня.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19. Комиссия принимает решения открытым голосованием простым большинством голосов от числа присутствующих членов комиссии. В случае равенства голосов голос председательствующего на заседании комиссии является решающим.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20. 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Решения комиссии оформляются протоколом заседания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21. Члены комиссии, несогласные с принятым комиссией решением, вправе письменно изложить свое мнение, которое приобщается к протоколу заседания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22. Протокол заседания комиссии с приложением актов обследования объектов недвижимости и материалов обследования направляются комиссией в уполномоченный орган в срок, не превышающий 5 рабочих дней со дня проведения заседания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23. Контроль за проведением комиссией мероприятий по определению вида фактического использования объектов недвижимости осуществляет уполномоченный орган.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Порядок проведения обследований и оформление результатов обследований объектов недвижимости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24. Обследование объекта недвижимости (далее – обследование) проводится в случае, если сведения, содержащиеся в Едином государственном реестре недвижимости, или документы технического учета (инвентаризации) объекта недвижимости не позволяют достоверно определить вид фактического использования объекта недвижимости.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25. В целях проведения обследования распоряжением уполномоченного органа ежегодно до 1 июня текущего года утверждаются графики проведения обследований с указанием объектов недвижимости, подлежащих обследованию, и сроков проведения обследований.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26. Уполномоченный орган размещает график проведения обследований на официальном сайте уполномоченного органа в течение 5 рабочих дней со дня его утверждения и направляет график проведения обследований в орган местного самоуправления городского, муниципального округа, муниципального района в Камчатском крае, на территории которого будет проводиться обследование, для размещения на официальном сайте муниципального образования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27. В срок не позднее 3 рабочих дней перед проведением обследования комиссия информирует собственников либо правообладателей объекта недвижимости о предстоящем обследовании любыми доступными способами, в том числе с использованием средств телефонной, факсимильной и электронной связи.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28. Собственник либо правообладатель объекта недвижимости имеет право самостоятельно обратиться в комиссию с заявлением о проведении обследования. В таком случае обследование проводится в течение </w:t>
        <w:br/>
        <w:t>7 рабочих дней со дня поступления в комиссию заявления о проведении обследования.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29. При проведении мероприятий по определению вида фактического использования объектов недвижимости комиссия использует информацию, содержащуюся в Едином государственном реестре недвижимости, документы технического учета (инвентаризации) объектов недвижимости и (или) сведения о таком учете (инвентаризации). Комиссия вправе запрашивать необходимые сведения у федеральных органов исполнительной власти (их территориальных органов), органов исполнительной власти Камчатского края и подведомственных им организаций, органов местного самоуправления муниципальных образований в Камчатском крае, собственников объектов недвижимости, а также использовать открытые источники информации о виде деятельности, осуществляемой на объекте недвижимости, подлежащем обследованию.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30. Обследование осуществляется путем визуального осмотра объекта недвижимости членами комиссии в составе не менее 3 человек.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b w:val="false"/>
        </w:rPr>
      </w:pPr>
      <w:r>
        <w:rPr>
          <w:rFonts w:ascii="Times New Roman" w:hAnsi="Times New Roman"/>
          <w:sz w:val="28"/>
        </w:rPr>
        <w:t>В ходе проведения обследования осуществляется фотосъемка (при необходимости видеосъемка), фиксирующая фактическое использование объекта недвижимости, фотосъемка (при необходимости видеосъемка) информационных стендов с реквизитами лиц, осуществляющих деятельность на объекте недвижимости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8"/>
        </w:rPr>
        <w:t xml:space="preserve"> а также, при необходимости, замеры площади объекта, используемой </w:t>
      </w:r>
      <w:r>
        <w:rPr>
          <w:rFonts w:ascii="Times New Roman" w:hAnsi="Times New Roman"/>
          <w:b w:val="false"/>
          <w:sz w:val="28"/>
        </w:rPr>
        <w:t>для размещения офисов, торговых объектов, объектов общественного питания и (или) объектов бытового обслуживания с целью определения процентного соотношения такой площади к общей площади объекта недвижимости.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31. Для проведения обследований в качестве эксперта может быть привлечено лицо, обладающее специальными знаниями по вопросам, возникающим в ходе проведения мероприятий по определению вида фактического использования объектов недвижимости.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32. По результатам обследования в отношении каждого объекта недвижимости составляется акт обследования объекта недвижимости (далее – акт обследования) по форме согласно приложению к настоящему Порядку. 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z w:val="28"/>
        </w:rPr>
        <w:t>33. В случае если при проведении обследования возникли обстоятельства, препятствующие доступу на объект недвижимости, а также в случае отказа собственника (владельца) в доступе на объект недвижимости, но при этом имеются факты, свидетельствующие об использовании объекта недвижимости для размещения офисов и (или) торговых объектов, и (или) объектов общественного питания, и (или) объектов бытового обслуживания, в том числе вывески, рекламные стенды, баннеры, то такие обстоятельства отражаются в  акте обследования с указанием на признаки размещения на территории объекта недвижимости офисов и (или) торговых объектов, и (или) объектов общественного питания, и (или) объектов бытового обслуживания (при наличии) с приложением фото- и (или) видеоматериалов и обязательной отметкой об отсутствии доступа на объект недвижимости.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34. Собственник либо правообладатель объекта недвижимости вправе направить в комиссию запрос о предоставлении копии акта обследования.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Копия акта обследования направляется собственнику либо правообладателю объекта недвижимости в течение 10 рабочих дней со дня поступления запроса</w:t>
      </w:r>
      <w:r>
        <w:rPr>
          <w:rFonts w:ascii="Times New Roman" w:hAnsi="Times New Roman"/>
        </w:rPr>
        <w:t>.</w:t>
      </w:r>
    </w:p>
    <w:p>
      <w:pPr>
        <w:pStyle w:val="ConsPlusNormal111"/>
        <w:widowControl w:val="fals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Материалы фото- и (или) видеосъемки собственнику либо правообладателю объекта недвижимости не направляются.</w:t>
      </w:r>
    </w:p>
    <w:p>
      <w:pPr>
        <w:pStyle w:val="ConsPlusNormal111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11"/>
        <w:widowControl w:val="false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4. Порядок проведения повторных обследований и оформление результатов повторных обследований объектов недвижимости</w:t>
      </w:r>
    </w:p>
    <w:p>
      <w:pPr>
        <w:pStyle w:val="ConsPlusNormal111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836" w:leader="none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35. В случае несогласия с результатами обследования собственник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либо правообладатель</w:t>
      </w:r>
      <w:r>
        <w:rPr>
          <w:rFonts w:ascii="Times New Roman" w:hAnsi="Times New Roman"/>
          <w:sz w:val="28"/>
        </w:rPr>
        <w:t xml:space="preserve"> объекта недвижимости в течение 30 календарных дней с даты получения копии акта обследования вправе обратиться в уполномоченный орган с заявлением о пересмотре результатов обследования путем проведения повторного обследования объекта недвижимости, содержащим обоснование необходимости проведения повторного обследования с приложением документов (заверенных в установленном порядке копий документов), подтверждающих соответствие (несоответствие) объекта недвижимости условиям признания объектом, подлежащим налогообложению по кадастровой стоимости (далее – заявление).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36. При поступлении заявления уполномоченный орган организовывает проведение повторного обследования объекта недвижимости путем направления обращения в комиссию.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Повторное обследование объекта недвижимости проводится </w:t>
        <w:br/>
        <w:t>в течение 30 рабочих дней со дня поступления заявления в уполномоченный орган. Акт обследования представляется комиссией в уполномоченный орган в течение 10 рабочих дней со дня окончания проведения повторного обследования.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>37. Результаты повторных обследований объектов недвижимости рассматриваются постоянно действующей рабочей группой уполномоченного органа по вопросам определения перечня объектов недвижимого имущества, расположенных на территории Камчатского края, в отношении которых налоговая база определяется как кадастровая стоимость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, в срок, не превышающий 15 рабочих дней со дня поступления в уполномоченный орган акта повторного обследования (далее – рабочая группа).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 xml:space="preserve">38.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В состав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входят представители исполнительных органов Камчатского края и государственных учреждений Камчатского края, в ее состав по согласованию также могут входить представители территориального органа Федеральной службы государственной регистрации, кадастра и картографии и иных организаций.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>39. Состав 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утверждается приказом уполномоченного органа и размещается на официальном сайте уполномоченного органа </w:t>
        <w:br/>
        <w:t xml:space="preserve">в течение 7 рабочих дней со дня утверждения. 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40. </w:t>
      </w:r>
      <w:r>
        <w:rPr>
          <w:rFonts w:ascii="Times New Roman" w:hAnsi="Times New Roman"/>
          <w:sz w:val="28"/>
        </w:rPr>
        <w:t>Рабочая группа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состоит из председателя, заместителя председателя, секретаря и членов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. Количественный состав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не может быть менее 7 человек.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41. Рабочая группа осуществляет свою деятельность в форме заседаний.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42. Заседания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являются правомочными при участии в них не менее половины от общего числа членов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43. Рабочая группа принимает решения в форме заключений о соответствии (не соответствии) объекта недвижимости условиям, установленным пунктами 3–5 статьи 378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vertAlign w:val="superscript"/>
        </w:rPr>
        <w:t>2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Налогового кодекса Российской Федерации, а также о наличии либо отсутствии оснований для включения (не включения) объекта недвижимости в перечень либо исключения объекта недвижимости из перечня.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44. Рабочая группа принимает решения открытым голосованием простым большинством голосов от числа присутствующих членов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. </w:t>
        <w:br/>
        <w:t xml:space="preserve">В случае равенства голосов голос председательствующего на заседании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является решающим.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45. Решения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оформляются протоколом заседания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, который подписывается председателем и секретарем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46. Члены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, несогласные с принятым </w:t>
      </w:r>
      <w:r>
        <w:rPr>
          <w:rFonts w:ascii="Times New Roman" w:hAnsi="Times New Roman"/>
          <w:sz w:val="28"/>
        </w:rPr>
        <w:t>рабочей групп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ой решением, вправе письменно изложить свое мнение, которое приобщается к протоколу заседания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47. Решения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носят рекомендательный характер.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48. В течение 20 календарных дней со дня принятия </w:t>
      </w:r>
      <w:r>
        <w:rPr>
          <w:rFonts w:ascii="Times New Roman" w:hAnsi="Times New Roman"/>
          <w:sz w:val="28"/>
        </w:rPr>
        <w:t>рабочей группой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решения уполномоченный орган издает приказ об исключении объекта недвижимости из перечня или в письменной форме уведомляет собственника либо правообладателя объекта недвижимости об отказе в исключении объекта недвижимости из перечня.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 xml:space="preserve">Приказ уполномоченного органа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об исключении объекта недвижимости из перечня или отказ в исключении объекта недвижимости из перечня могут быть обжалованы собственником либо правообладателем объекта недвижимости в судебном порядке.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49. В случае издания приказа об исключении объекта недвижимости из перечня (далее – приказ) уполномоченный орган: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1) в течение 5 календарных дней со дня внесения изменений в перечень направляет приказ в электронной форме в Управление Федеральной налоговой службы по Камчатскому краю; 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2) размещает приказ на официальном сайте уполномоченного органа.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50. Исключение объектов недвижимости из перечня осуществляется уполномоченным органом в следующих случаях: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1) по результатам обследования – за налоговый период, в котором проводилось обследование;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2) по решению суда – за налоговый период, указанный в таком решении;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3) при исправлении ошибки, подтверждаемой сведениями территориального органа Федеральной службы государственной регистрации, кадастра и картографии, иных уполномоченных органов, организаций, </w:t>
        <w:br/>
        <w:t>комиссий – за налоговый период, начиная с периода в котором была допущена ошибка.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51. Направление собственнику либо правообладателю объекта недвижимости копии акта обследования и проведение повторного обследования объекта недвижимости осуществляется до определения уполномоченным органом перечня на очередной налоговый период.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52. В случае изменения вида фактического использования зданий (строений, сооружений) и помещений собственник либо правообладатель объекта недвижимости, в целях проведения мероприятий по определению вида фактического использования объекта недвижимости, вправе обратиться в уполномоченный орган, который в срок не позднее 40 календарных дней со дня поступления такого обращения обеспечивает проведение мероприятий комиссией.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8"/>
      </w:tblGrid>
      <w:tr>
        <w:trPr/>
        <w:tc>
          <w:tcPr>
            <w:tcW w:w="4818" w:type="dxa"/>
            <w:tcBorders/>
          </w:tcPr>
          <w:p>
            <w:pPr>
              <w:pStyle w:val="23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>Приложение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>к Порядку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</w:t>
            </w:r>
          </w:p>
          <w:p>
            <w:pPr>
              <w:pStyle w:val="Normal"/>
              <w:spacing w:lineRule="auto" w:line="240" w:before="0" w:after="0"/>
              <w:ind w:hanging="0" w:left="57" w:right="57"/>
              <w:jc w:val="right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>ФОРМА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Акт № ___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обследования вида фактического использования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объекта недвижимого имущества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tabs>
          <w:tab w:val="clear" w:pos="708"/>
          <w:tab w:val="left" w:pos="5625" w:leader="none"/>
          <w:tab w:val="left" w:pos="6435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«__» ________ 20___ г.</w:t>
        <w:tab/>
        <w:t xml:space="preserve">          ____________________________</w:t>
      </w:r>
    </w:p>
    <w:p>
      <w:pPr>
        <w:pStyle w:val="ConsPlusNonformat"/>
        <w:tabs>
          <w:tab w:val="clear" w:pos="708"/>
          <w:tab w:val="left" w:pos="5625" w:leader="none"/>
          <w:tab w:val="left" w:pos="6435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20"/>
          <w:szCs w:val="20"/>
        </w:rPr>
        <w:t>наименование населенного пункта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17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17" w:hRule="atLeast"/>
        </w:trPr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объекта в соответствии с техническим и кадастровым паспортом)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28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</w:tr>
      <w:tr>
        <w:trPr>
          <w:trHeight w:val="13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Край: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Район: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Город, поселок, село:</w:t>
            </w:r>
          </w:p>
        </w:tc>
      </w:tr>
      <w:tr>
        <w:trPr>
          <w:trHeight w:val="13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Улица (переулок):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Дом №: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Корпус: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Строение: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187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Собственник (правообладатель) объекта: (полное наименование, ИНН)</w:t>
            </w:r>
          </w:p>
        </w:tc>
      </w:tr>
      <w:tr>
        <w:trPr>
          <w:trHeight w:val="118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en-US"/>
              </w:rPr>
            </w:r>
          </w:p>
        </w:tc>
      </w:tr>
      <w:tr>
        <w:trPr>
          <w:trHeight w:val="118" w:hRule="atLeast"/>
        </w:trPr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en-US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2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Общие сведения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2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305"/>
        <w:gridCol w:w="5331"/>
      </w:tblGrid>
      <w:tr>
        <w:trPr/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left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Par93"/>
            <w:bookmarkEnd w:id="2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1.1. Общие сведения о здании (строении, сооружении), нежилом помещении</w:t>
            </w:r>
          </w:p>
        </w:tc>
      </w:tr>
      <w:tr>
        <w:trPr>
          <w:trHeight w:val="25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Инвентарный номер: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Общая площадь (кв. м)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Количество этажей, в том числе подземных этажей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Виды разрешенного использования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0" w:hRule="atLeast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jc w:val="left"/>
              <w:outlineLvl w:val="3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bookmarkStart w:id="3" w:name="Par103"/>
            <w:bookmarkEnd w:id="3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1.2. Общие сведения о земельном участке</w:t>
            </w:r>
          </w:p>
        </w:tc>
      </w:tr>
      <w:tr>
        <w:trPr>
          <w:trHeight w:val="17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Виды разрешенного использования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2"/>
        <w:rPr>
          <w:b w:val="false"/>
          <w:bCs w:val="false"/>
          <w:sz w:val="28"/>
          <w:szCs w:val="28"/>
        </w:rPr>
      </w:pPr>
      <w:bookmarkStart w:id="4" w:name="Par111"/>
      <w:bookmarkEnd w:id="4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Мероприятия по определению вида фактического использования объекта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2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34"/>
        <w:gridCol w:w="4583"/>
        <w:gridCol w:w="1191"/>
        <w:gridCol w:w="1793"/>
        <w:gridCol w:w="1435"/>
      </w:tblGrid>
      <w:tr>
        <w:trPr>
          <w:trHeight w:val="17" w:hRule="atLeast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2.1. Мероприятие проведено:</w:t>
            </w:r>
          </w:p>
        </w:tc>
      </w:tr>
      <w:tr>
        <w:trPr>
          <w:trHeight w:val="25" w:hRule="atLeast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с доступом в здание (строение, сооружение), нежилое помещение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5" w:hRule="atLeast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без доступа в здание (строение, сооружение), нежилое помещение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5" w:hRule="atLeast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2.2. Обследование (обмер) объекта проведено:</w:t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с согласия и при участии правообладателя или его представителя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без согласия правообладателя или его представителя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правообладатель или его представитель препятствовали проведению обследования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правообладатель или его представитель запретили проведение обследования и препятствовали его осуществлению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2.3. Описание фактического использования помещений</w:t>
            </w:r>
          </w:p>
        </w:tc>
      </w:tr>
      <w:tr>
        <w:trPr>
          <w:trHeight w:val="20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Наименование помещения (позиции)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Фактическое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использование</w:t>
            </w:r>
          </w:p>
        </w:tc>
      </w:tr>
      <w:tr>
        <w:trPr>
          <w:trHeight w:val="20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Фото-</w:t>
      </w:r>
      <w:r>
        <w:rPr>
          <w:rFonts w:cs="Times New Roman" w:ascii="Times New Roman" w:hAnsi="Times New Roman"/>
          <w:sz w:val="24"/>
          <w:szCs w:val="24"/>
        </w:rPr>
        <w:t xml:space="preserve"> (видео-) съемка при обследовании </w:t>
      </w:r>
      <w:r>
        <w:rPr>
          <w:rFonts w:cs="Times New Roman" w:ascii="Times New Roman" w:hAnsi="Times New Roman"/>
          <w:sz w:val="24"/>
          <w:szCs w:val="24"/>
          <w:u w:val="none"/>
        </w:rPr>
        <w:t>проводилась</w:t>
      </w:r>
      <w:r>
        <w:rPr>
          <w:rFonts w:cs="Times New Roman" w:ascii="Times New Roman" w:hAnsi="Times New Roman"/>
          <w:sz w:val="24"/>
          <w:szCs w:val="24"/>
        </w:rPr>
        <w:t>/не проводилась (нужное подчеркнуть).</w:t>
      </w:r>
    </w:p>
    <w:p>
      <w:pPr>
        <w:pStyle w:val="Normal"/>
        <w:widowControl w:val="false"/>
        <w:spacing w:lineRule="auto" w:line="240" w:before="0" w:after="0"/>
        <w:ind w:firstLine="53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2"/>
        <w:rPr>
          <w:b w:val="false"/>
          <w:bCs w:val="false"/>
          <w:sz w:val="28"/>
          <w:szCs w:val="28"/>
        </w:rPr>
      </w:pPr>
      <w:bookmarkStart w:id="5" w:name="Par141"/>
      <w:bookmarkEnd w:id="5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Заключение о фактическом использовании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left"/>
        <w:outlineLvl w:val="2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2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contextualSpacing/>
        <w:jc w:val="center"/>
        <w:outlineLvl w:val="2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4. Особые отметки</w:t>
        <w:tab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left"/>
        <w:outlineLvl w:val="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5. Приложение</w:t>
      </w:r>
    </w:p>
    <w:p>
      <w:pPr>
        <w:pStyle w:val="ConsPlusNonformat"/>
        <w:jc w:val="left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Выписка из Единого государственного реестра недвижимости об объекте недвижимости.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Фото- (видео-) материалы.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left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Члены комиссии, проводившие обследование:</w:t>
      </w:r>
    </w:p>
    <w:p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___________________        ___________________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(должность)                                         (подпись)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____________________      ___________________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t>(должность)                                          (подпись)                 (расшифровка подписи)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____________________      ___________________</w:t>
      </w:r>
    </w:p>
    <w:p>
      <w:pPr>
        <w:pStyle w:val="ConsPlusNonformat"/>
        <w:suppressAutoHyphens w:val="true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(должность)                                          (подпись)                 (расшифровка подписи)».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right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right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right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right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right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right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8" w:right="851" w:gutter="0" w:header="1134" w:top="119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13</w:t>
    </w:r>
    <w:r>
      <w:rPr>
        <w:sz w:val="28"/>
        <w:rFonts w:ascii="Times New Roman" w:hAnsi="Times New Roman"/>
      </w:rPr>
      <w:fldChar w:fldCharType="end"/>
    </w:r>
  </w:p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13</w:t>
    </w:r>
    <w:r>
      <w:rPr>
        <w:sz w:val="28"/>
        <w:rFonts w:ascii="Times New Roman" w:hAnsi="Times New Roman"/>
      </w:rPr>
      <w:fldChar w:fldCharType="end"/>
    </w:r>
  </w:p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Textbody">
    <w:name w:val="Text body"/>
    <w:qFormat/>
    <w:rPr/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HeaderandFooter4">
    <w:name w:val="Header and Footer4"/>
    <w:link w:val="HeaderandFooter41"/>
    <w:qFormat/>
    <w:rPr/>
  </w:style>
  <w:style w:type="character" w:styleId="11">
    <w:name w:val="Гиперссылка11"/>
    <w:basedOn w:val="116"/>
    <w:link w:val="1114"/>
    <w:qFormat/>
    <w:rPr>
      <w:color w:themeColor="hyperlink" w:val="0563C1"/>
      <w:u w:val="single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link w:val="Footer11"/>
    <w:qFormat/>
    <w:rPr>
      <w:rFonts w:ascii="Times New Roman" w:hAnsi="Times New Roman"/>
      <w:sz w:val="28"/>
    </w:rPr>
  </w:style>
  <w:style w:type="character" w:styleId="91">
    <w:name w:val="Оглавление 9 Знак1"/>
    <w:link w:val="91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color w:val="000000"/>
      <w:sz w:val="28"/>
    </w:rPr>
  </w:style>
  <w:style w:type="character" w:styleId="31">
    <w:name w:val="Заголовок 3 Знак1"/>
    <w:link w:val="3111"/>
    <w:qFormat/>
    <w:rPr>
      <w:rFonts w:ascii="XO Thames" w:hAnsi="XO Thames"/>
      <w:b/>
      <w:color w:val="000000"/>
      <w:spacing w:val="0"/>
      <w:sz w:val="26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1"/>
    <w:link w:val="List11"/>
    <w:qFormat/>
    <w:rPr/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111">
    <w:name w:val="Заголовок 1 Знак1"/>
    <w:link w:val="1115"/>
    <w:qFormat/>
    <w:rPr>
      <w:rFonts w:ascii="XO Thames" w:hAnsi="XO Thames"/>
      <w:b/>
      <w:color w:val="000000"/>
      <w:spacing w:val="0"/>
      <w:sz w:val="32"/>
    </w:rPr>
  </w:style>
  <w:style w:type="character" w:styleId="Contents9">
    <w:name w:val="Contents 9"/>
    <w:link w:val="Contents92"/>
    <w:qFormat/>
    <w:rPr>
      <w:rFonts w:ascii="XO Thames" w:hAnsi="XO Thames"/>
      <w:color w:val="00000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color w:val="000000"/>
      <w:sz w:val="24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z w:val="28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21">
    <w:name w:val="Заголовок 2 Знак1"/>
    <w:link w:val="2111"/>
    <w:qFormat/>
    <w:rPr>
      <w:rFonts w:ascii="XO Thames" w:hAnsi="XO Thames"/>
      <w:b/>
      <w:color w:val="000000"/>
      <w:spacing w:val="0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z w:val="40"/>
    </w:rPr>
  </w:style>
  <w:style w:type="character" w:styleId="1">
    <w:name w:val="Подзаголовок Знак1"/>
    <w:link w:val="119"/>
    <w:qFormat/>
    <w:rPr>
      <w:rFonts w:ascii="XO Thames" w:hAnsi="XO Thames"/>
      <w:i/>
      <w:color w:val="000000"/>
      <w:spacing w:val="0"/>
      <w:sz w:val="24"/>
    </w:rPr>
  </w:style>
  <w:style w:type="character" w:styleId="12">
    <w:name w:val="Заголовок таблицы1"/>
    <w:basedOn w:val="15"/>
    <w:link w:val="121"/>
    <w:qFormat/>
    <w:rPr>
      <w:b/>
    </w:rPr>
  </w:style>
  <w:style w:type="character" w:styleId="13">
    <w:name w:val="Нижний колонтитул Знак1"/>
    <w:basedOn w:val="112"/>
    <w:link w:val="1110"/>
    <w:qFormat/>
    <w:rPr>
      <w:rFonts w:ascii="Times New Roman" w:hAnsi="Times New Roman"/>
      <w:sz w:val="28"/>
    </w:rPr>
  </w:style>
  <w:style w:type="character" w:styleId="112">
    <w:name w:val="Обычный11"/>
    <w:link w:val="1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">
    <w:name w:val="Заголовок 5 Знак1"/>
    <w:link w:val="5111"/>
    <w:qFormat/>
    <w:rPr>
      <w:rFonts w:ascii="XO Thames" w:hAnsi="XO Thames"/>
      <w:b/>
      <w:color w:val="000000"/>
      <w:spacing w:val="0"/>
      <w:sz w:val="22"/>
    </w:rPr>
  </w:style>
  <w:style w:type="character" w:styleId="81">
    <w:name w:val="Оглавление 8 Знак1"/>
    <w:link w:val="81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link w:val="Caption11"/>
    <w:qFormat/>
    <w:rPr>
      <w:i/>
      <w:sz w:val="24"/>
    </w:rPr>
  </w:style>
  <w:style w:type="character" w:styleId="HeaderandFooter3">
    <w:name w:val="Header and Footer3"/>
    <w:link w:val="HeaderandFooter31"/>
    <w:qFormat/>
    <w:rPr/>
  </w:style>
  <w:style w:type="character" w:styleId="113">
    <w:name w:val="Указатель11"/>
    <w:link w:val="1121"/>
    <w:qFormat/>
    <w:rPr/>
  </w:style>
  <w:style w:type="character" w:styleId="Heading21">
    <w:name w:val="Heading 21"/>
    <w:link w:val="Heading211"/>
    <w:qFormat/>
    <w:rPr>
      <w:rFonts w:ascii="XO Thames" w:hAnsi="XO Thames"/>
      <w:b/>
      <w:color w:val="000000"/>
      <w:sz w:val="28"/>
    </w:rPr>
  </w:style>
  <w:style w:type="character" w:styleId="1111">
    <w:name w:val="Указатель1111"/>
    <w:link w:val="111121"/>
    <w:qFormat/>
    <w:rPr/>
  </w:style>
  <w:style w:type="character" w:styleId="1112">
    <w:name w:val="Заголовок111"/>
    <w:link w:val="11121"/>
    <w:qFormat/>
    <w:rPr>
      <w:rFonts w:ascii="Liberation Sans" w:hAnsi="Liberation Sans"/>
      <w:sz w:val="28"/>
    </w:rPr>
  </w:style>
  <w:style w:type="character" w:styleId="61">
    <w:name w:val="Оглавление 6 Знак1"/>
    <w:link w:val="611"/>
    <w:qFormat/>
    <w:rPr>
      <w:rFonts w:ascii="XO Thames" w:hAnsi="XO Thames"/>
      <w:color w:val="000000"/>
      <w:spacing w:val="0"/>
      <w:sz w:val="28"/>
    </w:rPr>
  </w:style>
  <w:style w:type="character" w:styleId="114">
    <w:name w:val="Заголовок11"/>
    <w:link w:val="1122"/>
    <w:qFormat/>
    <w:rPr>
      <w:rFonts w:ascii="Liberation Sans" w:hAnsi="Liberation Sans"/>
      <w:sz w:val="28"/>
    </w:rPr>
  </w:style>
  <w:style w:type="character" w:styleId="Contents71">
    <w:name w:val="Contents 71"/>
    <w:link w:val="Contents72"/>
    <w:qFormat/>
    <w:rPr>
      <w:rFonts w:ascii="XO Thames" w:hAnsi="XO Thames"/>
      <w:color w:val="00000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4">
    <w:name w:val="Колонтитул1"/>
    <w:link w:val="1117"/>
    <w:qFormat/>
    <w:rPr>
      <w:rFonts w:ascii="XO Thames" w:hAnsi="XO Thames"/>
      <w:color w:val="000000"/>
      <w:spacing w:val="0"/>
      <w:sz w:val="20"/>
    </w:rPr>
  </w:style>
  <w:style w:type="character" w:styleId="71">
    <w:name w:val="Оглавление 7 Знак1"/>
    <w:link w:val="71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2"/>
    <w:qFormat/>
    <w:rPr>
      <w:rFonts w:ascii="XO Thames" w:hAnsi="XO Thames"/>
      <w:color w:val="000000"/>
      <w:sz w:val="28"/>
    </w:rPr>
  </w:style>
  <w:style w:type="character" w:styleId="15">
    <w:name w:val="Содержимое таблицы1"/>
    <w:link w:val="122"/>
    <w:qFormat/>
    <w:rPr/>
  </w:style>
  <w:style w:type="character" w:styleId="Contents1">
    <w:name w:val="Contents 1"/>
    <w:link w:val="Contents12"/>
    <w:qFormat/>
    <w:rPr>
      <w:rFonts w:ascii="XO Thames" w:hAnsi="XO Thames"/>
      <w:b/>
      <w:color w:val="000000"/>
      <w:sz w:val="28"/>
    </w:rPr>
  </w:style>
  <w:style w:type="character" w:styleId="115">
    <w:name w:val="Оглавление 1 Знак1"/>
    <w:link w:val="1118"/>
    <w:qFormat/>
    <w:rPr>
      <w:rFonts w:ascii="XO Thames" w:hAnsi="XO Thames"/>
      <w:b/>
      <w:color w:val="000000"/>
      <w:spacing w:val="0"/>
      <w:sz w:val="28"/>
    </w:rPr>
  </w:style>
  <w:style w:type="character" w:styleId="Textbody1">
    <w:name w:val="Text body1"/>
    <w:link w:val="Textbody2"/>
    <w:qFormat/>
    <w:rPr/>
  </w:style>
  <w:style w:type="character" w:styleId="IndexHeading1">
    <w:name w:val="Index Heading1"/>
    <w:qFormat/>
    <w:rPr/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HeaderandFooter5">
    <w:name w:val="Header and Footer5"/>
    <w:link w:val="HeaderandFooter51"/>
    <w:qFormat/>
    <w:rPr/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Footer2">
    <w:name w:val="Footer2"/>
    <w:qFormat/>
    <w:rPr>
      <w:rFonts w:ascii="Times New Roman" w:hAnsi="Times New Roman"/>
      <w:sz w:val="28"/>
    </w:rPr>
  </w:style>
  <w:style w:type="character" w:styleId="Style9">
    <w:name w:val="Содержимое таблицы"/>
    <w:link w:val="214"/>
    <w:qFormat/>
    <w:rPr/>
  </w:style>
  <w:style w:type="character" w:styleId="116">
    <w:name w:val="Основной шрифт абзаца11"/>
    <w:link w:val="1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ing311">
    <w:name w:val="Heading 311"/>
    <w:link w:val="Heading312"/>
    <w:qFormat/>
    <w:rPr>
      <w:rFonts w:ascii="XO Thames" w:hAnsi="XO Thames"/>
      <w:b/>
      <w:color w:val="000000"/>
      <w:sz w:val="26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z w:val="28"/>
    </w:rPr>
  </w:style>
  <w:style w:type="character" w:styleId="Hyperlink">
    <w:name w:val="Hyperlink"/>
    <w:basedOn w:val="DefaultParagraphFont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link w:val="HeaderandFooter6"/>
    <w:qFormat/>
    <w:rPr>
      <w:rFonts w:ascii="XO Thames" w:hAnsi="XO Thames"/>
      <w:sz w:val="28"/>
    </w:rPr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0">
    <w:name w:val="Заголовок"/>
    <w:link w:val="212"/>
    <w:qFormat/>
    <w:rPr>
      <w:rFonts w:ascii="Liberation Sans" w:hAnsi="Liberation Sans"/>
      <w:sz w:val="28"/>
    </w:rPr>
  </w:style>
  <w:style w:type="character" w:styleId="IndexHeading11">
    <w:name w:val="Index Heading11"/>
    <w:link w:val="IndexHeading12"/>
    <w:qFormat/>
    <w:rPr/>
  </w:style>
  <w:style w:type="character" w:styleId="Header1">
    <w:name w:val="Header1"/>
    <w:qFormat/>
    <w:rPr/>
  </w:style>
  <w:style w:type="character" w:styleId="11111">
    <w:name w:val="Заголовок11111"/>
    <w:link w:val="1111111"/>
    <w:qFormat/>
    <w:rPr>
      <w:rFonts w:ascii="Liberation Sans" w:hAnsi="Liberation Sans"/>
      <w:sz w:val="28"/>
    </w:rPr>
  </w:style>
  <w:style w:type="character" w:styleId="Style11">
    <w:name w:val="Указатель"/>
    <w:link w:val="213"/>
    <w:qFormat/>
    <w:rPr/>
  </w:style>
  <w:style w:type="character" w:styleId="Contents21">
    <w:name w:val="Contents 21"/>
    <w:link w:val="Contents22"/>
    <w:qFormat/>
    <w:rPr>
      <w:rFonts w:ascii="XO Thames" w:hAnsi="XO Thames"/>
      <w:color w:val="00000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z w:val="24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z w:val="28"/>
    </w:rPr>
  </w:style>
  <w:style w:type="character" w:styleId="16">
    <w:name w:val="Заголовок1"/>
    <w:link w:val="123"/>
    <w:qFormat/>
    <w:rPr>
      <w:rFonts w:ascii="Liberation Sans" w:hAnsi="Liberation Sans"/>
      <w:sz w:val="28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2"/>
    <w:qFormat/>
    <w:rPr/>
  </w:style>
  <w:style w:type="character" w:styleId="List2">
    <w:name w:val="List2"/>
    <w:basedOn w:val="Textbody"/>
    <w:qFormat/>
    <w:rPr/>
  </w:style>
  <w:style w:type="character" w:styleId="Heading111">
    <w:name w:val="Heading 111"/>
    <w:link w:val="Heading112"/>
    <w:qFormat/>
    <w:rPr>
      <w:rFonts w:ascii="XO Thames" w:hAnsi="XO Thames"/>
      <w:b/>
      <w:color w:val="000000"/>
      <w:sz w:val="32"/>
    </w:rPr>
  </w:style>
  <w:style w:type="character" w:styleId="17">
    <w:name w:val="Заголовок Знак1"/>
    <w:link w:val="1120"/>
    <w:qFormat/>
    <w:rPr>
      <w:rFonts w:ascii="XO Thames" w:hAnsi="XO Thames"/>
      <w:b/>
      <w:caps/>
      <w:color w:val="000000"/>
      <w:spacing w:val="0"/>
      <w:sz w:val="40"/>
    </w:rPr>
  </w:style>
  <w:style w:type="character" w:styleId="ConsPlusNormal11">
    <w:name w:val="ConsPlusNormal11"/>
    <w:link w:val="ConsPlusNormal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211">
    <w:name w:val="Оглавление 2 Знак1"/>
    <w:link w:val="2112"/>
    <w:qFormat/>
    <w:rPr>
      <w:rFonts w:ascii="XO Thames" w:hAnsi="XO Thames"/>
      <w:color w:val="000000"/>
      <w:spacing w:val="0"/>
      <w:sz w:val="28"/>
    </w:rPr>
  </w:style>
  <w:style w:type="character" w:styleId="311">
    <w:name w:val="Оглавление 3 Знак1"/>
    <w:link w:val="3112"/>
    <w:qFormat/>
    <w:rPr>
      <w:rFonts w:ascii="XO Thames" w:hAnsi="XO Thames"/>
      <w:color w:val="000000"/>
      <w:spacing w:val="0"/>
      <w:sz w:val="28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41">
    <w:name w:val="Заголовок 4 Знак1"/>
    <w:link w:val="4111"/>
    <w:qFormat/>
    <w:rPr>
      <w:rFonts w:ascii="XO Thames" w:hAnsi="XO Thames"/>
      <w:b/>
      <w:color w:val="000000"/>
      <w:spacing w:val="0"/>
      <w:sz w:val="24"/>
    </w:rPr>
  </w:style>
  <w:style w:type="character" w:styleId="411">
    <w:name w:val="Оглавление 4 Знак1"/>
    <w:link w:val="4112"/>
    <w:qFormat/>
    <w:rPr>
      <w:rFonts w:ascii="XO Thames" w:hAnsi="XO Thames"/>
      <w:color w:val="000000"/>
      <w:spacing w:val="0"/>
      <w:sz w:val="28"/>
    </w:rPr>
  </w:style>
  <w:style w:type="character" w:styleId="HeaderandFooter2">
    <w:name w:val="Header and Footer2"/>
    <w:link w:val="HeaderandFooter21"/>
    <w:qFormat/>
    <w:rPr/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2">
    <w:name w:val="Символ нумерации"/>
    <w:qFormat/>
    <w:rPr/>
  </w:style>
  <w:style w:type="character" w:styleId="Caption2">
    <w:name w:val="Caption2"/>
    <w:qFormat/>
    <w:rPr>
      <w:i/>
      <w:sz w:val="24"/>
    </w:rPr>
  </w:style>
  <w:style w:type="character" w:styleId="caption12">
    <w:name w:val="caption12"/>
    <w:link w:val="caption121"/>
    <w:qFormat/>
    <w:rPr>
      <w:i/>
      <w:sz w:val="24"/>
    </w:rPr>
  </w:style>
  <w:style w:type="character" w:styleId="Style13">
    <w:name w:val="Заголовок таблицы"/>
    <w:basedOn w:val="Style9"/>
    <w:link w:val="215"/>
    <w:qFormat/>
    <w:rPr>
      <w:b/>
    </w:rPr>
  </w:style>
  <w:style w:type="character" w:styleId="511">
    <w:name w:val="Оглавление 5 Знак1"/>
    <w:link w:val="5112"/>
    <w:qFormat/>
    <w:rPr>
      <w:rFonts w:ascii="XO Thames" w:hAnsi="XO Thames"/>
      <w:color w:val="000000"/>
      <w:spacing w:val="0"/>
      <w:sz w:val="28"/>
    </w:rPr>
  </w:style>
  <w:style w:type="character" w:styleId="Heading511">
    <w:name w:val="Heading 511"/>
    <w:link w:val="Heading512"/>
    <w:qFormat/>
    <w:rPr>
      <w:rFonts w:ascii="XO Thames" w:hAnsi="XO Thames"/>
      <w:b/>
      <w:color w:val="000000"/>
      <w:sz w:val="22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117">
    <w:name w:val="Содержимое таблицы11"/>
    <w:link w:val="11110"/>
    <w:qFormat/>
    <w:rPr/>
  </w:style>
  <w:style w:type="character" w:styleId="11112">
    <w:name w:val="Заголовок1111"/>
    <w:link w:val="111122"/>
    <w:qFormat/>
    <w:rPr>
      <w:rFonts w:ascii="Liberation Sans" w:hAnsi="Liberation Sans"/>
      <w:sz w:val="28"/>
    </w:rPr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18">
    <w:name w:val="Верхний колонтитул Знак1"/>
    <w:basedOn w:val="112"/>
    <w:link w:val="1123"/>
    <w:qFormat/>
    <w:rPr/>
  </w:style>
  <w:style w:type="character" w:styleId="111111">
    <w:name w:val="Указатель11111"/>
    <w:link w:val="1111112"/>
    <w:qFormat/>
    <w:rPr/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erandFooter1">
    <w:name w:val="Header and Footer1"/>
    <w:link w:val="HeaderandFooter11"/>
    <w:qFormat/>
    <w:rPr>
      <w:rFonts w:ascii="XO Thames" w:hAnsi="XO Thames"/>
      <w:color w:val="000000"/>
      <w:spacing w:val="0"/>
      <w:sz w:val="2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19">
    <w:name w:val="Указатель1"/>
    <w:link w:val="124"/>
    <w:qFormat/>
    <w:rPr/>
  </w:style>
  <w:style w:type="character" w:styleId="1113">
    <w:name w:val="Указатель111"/>
    <w:link w:val="11122"/>
    <w:qFormat/>
    <w:rPr/>
  </w:style>
  <w:style w:type="character" w:styleId="118">
    <w:name w:val="Заголовок таблицы11"/>
    <w:basedOn w:val="117"/>
    <w:link w:val="11113"/>
    <w:qFormat/>
    <w:rPr/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Internetlink">
    <w:name w:val="Internet link"/>
    <w:basedOn w:val="DefaultParagraphFont1"/>
    <w:link w:val="Internetlink2"/>
    <w:qFormat/>
    <w:rPr>
      <w:color w:themeColor="hyperlink" w:val="0563C1"/>
      <w:u w:val="single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user">
    <w:name w:val="Символ нумерации (user)"/>
    <w:qFormat/>
    <w:rPr/>
  </w:style>
  <w:style w:type="paragraph" w:styleId="2">
    <w:name w:val="Заголовок2"/>
    <w:next w:val="BodyTex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Liberation Sans" w:hAnsi="Liberation San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2">
    <w:name w:val="Указатель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2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213">
    <w:name w:val="Указатель21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41">
    <w:name w:val="Header and Footer41"/>
    <w:basedOn w:val="Normal"/>
    <w:link w:val="HeaderandFooter4"/>
    <w:qFormat/>
    <w:pPr/>
    <w:rPr/>
  </w:style>
  <w:style w:type="paragraph" w:styleId="1114">
    <w:name w:val="Гиперссылка111"/>
    <w:basedOn w:val="1119"/>
    <w:link w:val="11"/>
    <w:qFormat/>
    <w:pPr/>
    <w:rPr>
      <w:color w:themeColor="hyperlink" w:val="0563C1"/>
      <w:u w:val="single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911">
    <w:name w:val="Оглавление 9 Знак11"/>
    <w:link w:val="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3111">
    <w:name w:val="Заголовок 3 Знак11"/>
    <w:link w:val="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">
    <w:name w:val="List11"/>
    <w:basedOn w:val="Textbody2"/>
    <w:link w:val="List1"/>
    <w:qFormat/>
    <w:pPr/>
    <w:rPr/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1115">
    <w:name w:val="Заголовок 1 Знак11"/>
    <w:link w:val="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2111">
    <w:name w:val="Заголовок 2 Знак11"/>
    <w:link w:val="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9">
    <w:name w:val="Подзаголовок Знак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">
    <w:name w:val="Заголовок таблицы12"/>
    <w:basedOn w:val="122"/>
    <w:link w:val="12"/>
    <w:qFormat/>
    <w:pPr>
      <w:jc w:val="center"/>
    </w:pPr>
    <w:rPr>
      <w:b/>
    </w:rPr>
  </w:style>
  <w:style w:type="paragraph" w:styleId="1110">
    <w:name w:val="Нижний колонтитул Знак11"/>
    <w:basedOn w:val="1116"/>
    <w:link w:val="13"/>
    <w:qFormat/>
    <w:pPr/>
    <w:rPr>
      <w:rFonts w:ascii="Times New Roman" w:hAnsi="Times New Roman"/>
      <w:sz w:val="28"/>
    </w:rPr>
  </w:style>
  <w:style w:type="paragraph" w:styleId="1116">
    <w:name w:val="Обычный111"/>
    <w:link w:val="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11">
    <w:name w:val="Заголовок 5 Знак11"/>
    <w:link w:val="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811">
    <w:name w:val="Оглавление 8 Знак11"/>
    <w:link w:val="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">
    <w:name w:val="Caption11"/>
    <w:link w:val="Caption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andFooter31">
    <w:name w:val="Header and Footer31"/>
    <w:basedOn w:val="Normal"/>
    <w:link w:val="HeaderandFooter3"/>
    <w:qFormat/>
    <w:pPr/>
    <w:rPr/>
  </w:style>
  <w:style w:type="paragraph" w:styleId="1121">
    <w:name w:val="Указатель112"/>
    <w:basedOn w:val="Normal"/>
    <w:link w:val="113"/>
    <w:qFormat/>
    <w:pPr/>
    <w:rPr/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21">
    <w:name w:val="Указатель11112"/>
    <w:basedOn w:val="Normal"/>
    <w:link w:val="1111"/>
    <w:qFormat/>
    <w:pPr/>
    <w:rPr/>
  </w:style>
  <w:style w:type="paragraph" w:styleId="11121">
    <w:name w:val="Заголовок1112"/>
    <w:basedOn w:val="Normal"/>
    <w:next w:val="BodyText"/>
    <w:link w:val="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611">
    <w:name w:val="Оглавление 6 Знак11"/>
    <w:link w:val="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1122">
    <w:name w:val="Заголовок112"/>
    <w:basedOn w:val="Normal"/>
    <w:next w:val="BodyText"/>
    <w:link w:val="11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1117">
    <w:name w:val="Колонтитул11"/>
    <w:link w:val="14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711">
    <w:name w:val="Оглавление 7 Знак11"/>
    <w:link w:val="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122">
    <w:name w:val="Содержимое таблицы12"/>
    <w:basedOn w:val="Normal"/>
    <w:link w:val="15"/>
    <w:qFormat/>
    <w:pPr>
      <w:widowControl w:val="false"/>
    </w:pPr>
    <w:rPr/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8">
    <w:name w:val="Оглавление 1 Знак11"/>
    <w:link w:val="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">
    <w:name w:val="index heading"/>
    <w:basedOn w:val="Normal"/>
    <w:pPr/>
    <w:rPr/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andFooter51">
    <w:name w:val="Header and Footer51"/>
    <w:basedOn w:val="Normal"/>
    <w:link w:val="HeaderandFooter5"/>
    <w:qFormat/>
    <w:pPr/>
    <w:rPr/>
  </w:style>
  <w:style w:type="paragraph" w:styleId="HeaderandFooter6">
    <w:name w:val="Header and Footer6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7">
    <w:name w:val="Header and Footer7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23">
    <w:name w:val="Содержимое таблицы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9">
    <w:name w:val="Основной шрифт абзаца111"/>
    <w:link w:val="116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2">
    <w:name w:val="Index Heading12"/>
    <w:link w:val="Index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11111">
    <w:name w:val="Заголовок111111"/>
    <w:basedOn w:val="Normal"/>
    <w:next w:val="BodyText"/>
    <w:link w:val="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123">
    <w:name w:val="Заголовок12"/>
    <w:basedOn w:val="Normal"/>
    <w:next w:val="BodyText"/>
    <w:link w:val="16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20">
    <w:name w:val="Заголовок Знак11"/>
    <w:link w:val="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sPlusNormal111">
    <w:name w:val="ConsPlusNormal111"/>
    <w:link w:val="ConsPlusNormal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2112">
    <w:name w:val="Оглавление 2 Знак11"/>
    <w:link w:val="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3112">
    <w:name w:val="Оглавление 3 Знак11"/>
    <w:link w:val="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4111">
    <w:name w:val="Заголовок 4 Знак11"/>
    <w:link w:val="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4112">
    <w:name w:val="Оглавление 4 Знак11"/>
    <w:link w:val="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21">
    <w:name w:val="Header and Footer21"/>
    <w:basedOn w:val="Normal"/>
    <w:link w:val="HeaderandFooter2"/>
    <w:qFormat/>
    <w:pPr/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Символ нумерации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1">
    <w:name w:val="caption121"/>
    <w:basedOn w:val="Normal"/>
    <w:link w:val="caption12"/>
    <w:qFormat/>
    <w:pPr>
      <w:spacing w:before="120" w:after="120"/>
    </w:pPr>
    <w:rPr>
      <w:i/>
      <w:sz w:val="24"/>
    </w:rPr>
  </w:style>
  <w:style w:type="paragraph" w:styleId="24">
    <w:name w:val="Заголовок таблицы2"/>
    <w:basedOn w:val="23"/>
    <w:qFormat/>
    <w:pPr/>
    <w:rPr>
      <w:b/>
    </w:rPr>
  </w:style>
  <w:style w:type="paragraph" w:styleId="5112">
    <w:name w:val="Оглавление 5 Знак11"/>
    <w:link w:val="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11110">
    <w:name w:val="Содержимое таблицы111"/>
    <w:basedOn w:val="Normal"/>
    <w:link w:val="117"/>
    <w:qFormat/>
    <w:pPr/>
    <w:rPr/>
  </w:style>
  <w:style w:type="paragraph" w:styleId="111122">
    <w:name w:val="Заголовок11112"/>
    <w:basedOn w:val="Normal"/>
    <w:next w:val="BodyText"/>
    <w:link w:val="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Footnote21">
    <w:name w:val="Footnote21"/>
    <w:link w:val="Foot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123">
    <w:name w:val="Верхний колонтитул Знак11"/>
    <w:basedOn w:val="1116"/>
    <w:link w:val="18"/>
    <w:qFormat/>
    <w:pPr/>
    <w:rPr/>
  </w:style>
  <w:style w:type="paragraph" w:styleId="1111112">
    <w:name w:val="Указатель111111"/>
    <w:basedOn w:val="Normal"/>
    <w:link w:val="111111"/>
    <w:qFormat/>
    <w:pPr/>
    <w:rPr/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andFooter11">
    <w:name w:val="Header and Footer11"/>
    <w:link w:val="Headerand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124">
    <w:name w:val="Указатель12"/>
    <w:basedOn w:val="Normal"/>
    <w:link w:val="19"/>
    <w:qFormat/>
    <w:pPr/>
    <w:rPr/>
  </w:style>
  <w:style w:type="paragraph" w:styleId="11122">
    <w:name w:val="Указатель1112"/>
    <w:basedOn w:val="Normal"/>
    <w:link w:val="1113"/>
    <w:qFormat/>
    <w:pPr/>
    <w:rPr/>
  </w:style>
  <w:style w:type="paragraph" w:styleId="11113">
    <w:name w:val="Заголовок таблицы111"/>
    <w:basedOn w:val="11110"/>
    <w:link w:val="118"/>
    <w:qFormat/>
    <w:pPr/>
    <w:rPr/>
  </w:style>
  <w:style w:type="paragraph" w:styleId="Internetlink2">
    <w:name w:val="Internet link2"/>
    <w:basedOn w:val="DefaultParagraphFont11"/>
    <w:link w:val="Internetlink"/>
    <w:qFormat/>
    <w:pPr/>
    <w:rPr>
      <w:color w:themeColor="hyperlink" w:val="0563C1"/>
      <w:u w:val="single"/>
    </w:rPr>
  </w:style>
  <w:style w:type="paragraph" w:styleId="Footnote111">
    <w:name w:val="Footnote111"/>
    <w:link w:val="Footnote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214">
    <w:name w:val="Содержимое таблицы21"/>
    <w:basedOn w:val="Normal"/>
    <w:qFormat/>
    <w:pPr/>
    <w:rPr/>
  </w:style>
  <w:style w:type="paragraph" w:styleId="215">
    <w:name w:val="Заголовок таблицы21"/>
    <w:basedOn w:val="214"/>
    <w:qFormat/>
    <w:pPr/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ourier New" w:hAnsi="Courier New" w:eastAsia="Times New Roman" w:cs="Courier New"/>
      <w:color w:val="000000"/>
      <w:spacing w:val="0"/>
      <w:kern w:val="0"/>
      <w:sz w:val="20"/>
      <w:szCs w:val="20"/>
      <w:lang w:val="ru-RU" w:eastAsia="ru-RU" w:bidi="ar-SA"/>
    </w:r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7">
    <w:name w:val="Сетка таблицы2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8">
    <w:name w:val="Сетка таблицы1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LibreOffice/25.2.3.2$Windows_X86_64 LibreOffice_project/bbb074479178df812d175f709636b368952c2ce3</Application>
  <AppVersion>15.0000</AppVersion>
  <Pages>13</Pages>
  <Words>2469</Words>
  <Characters>19086</Characters>
  <CharactersWithSpaces>22050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2025-08-11T19:02:27Z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