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54" w:rsidRDefault="00864BAD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B54" w:rsidRDefault="00E37B54">
      <w:pPr>
        <w:spacing w:line="360" w:lineRule="auto"/>
        <w:jc w:val="center"/>
        <w:rPr>
          <w:sz w:val="32"/>
        </w:rPr>
      </w:pPr>
    </w:p>
    <w:p w:rsidR="00E37B54" w:rsidRDefault="00E37B54">
      <w:pPr>
        <w:jc w:val="center"/>
        <w:rPr>
          <w:b/>
          <w:sz w:val="32"/>
        </w:rPr>
      </w:pPr>
    </w:p>
    <w:p w:rsidR="00E37B54" w:rsidRDefault="00E37B54">
      <w:pPr>
        <w:rPr>
          <w:b/>
          <w:sz w:val="32"/>
        </w:rPr>
      </w:pPr>
    </w:p>
    <w:p w:rsidR="00E37B54" w:rsidRDefault="00864BAD">
      <w:pPr>
        <w:jc w:val="center"/>
      </w:pPr>
      <w:r>
        <w:t>РЕГИОНАЛЬНАЯ СЛУЖБА</w:t>
      </w:r>
    </w:p>
    <w:p w:rsidR="00E37B54" w:rsidRDefault="00864BAD">
      <w:pPr>
        <w:jc w:val="center"/>
      </w:pPr>
      <w:r>
        <w:t>ПО ТАРИФАМ И ЦЕНАМ КАМЧАТСКОГО КРАЯ</w:t>
      </w:r>
    </w:p>
    <w:p w:rsidR="00E37B54" w:rsidRDefault="00864BAD">
      <w:pPr>
        <w:jc w:val="both"/>
      </w:pPr>
      <w:r>
        <w:t> </w:t>
      </w:r>
    </w:p>
    <w:p w:rsidR="00E37B54" w:rsidRDefault="00864BAD">
      <w:pPr>
        <w:jc w:val="center"/>
      </w:pPr>
      <w:r>
        <w:t>ПОСТАНОВЛЕНИЕ</w:t>
      </w:r>
    </w:p>
    <w:p w:rsidR="00E37B54" w:rsidRDefault="00E37B54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37B54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E37B54" w:rsidRDefault="00864BAD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E37B54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E37B54" w:rsidRDefault="00864BAD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37B5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37B54" w:rsidRDefault="00E37B54">
            <w:pPr>
              <w:jc w:val="both"/>
              <w:rPr>
                <w:sz w:val="20"/>
              </w:rPr>
            </w:pPr>
          </w:p>
        </w:tc>
      </w:tr>
    </w:tbl>
    <w:p w:rsidR="00E37B54" w:rsidRDefault="00E37B54">
      <w:pPr>
        <w:ind w:firstLine="709"/>
        <w:jc w:val="both"/>
      </w:pPr>
    </w:p>
    <w:tbl>
      <w:tblPr>
        <w:tblStyle w:val="af3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E37B54">
        <w:tc>
          <w:tcPr>
            <w:tcW w:w="97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7B54" w:rsidRDefault="00864BAD" w:rsidP="00FE2A6C">
            <w:pPr>
              <w:ind w:left="30"/>
              <w:jc w:val="center"/>
              <w:rPr>
                <w:b/>
              </w:rPr>
            </w:pPr>
            <w:r>
              <w:rPr>
                <w:b/>
              </w:rPr>
              <w:t>Об установлении тарифов на перемещение</w:t>
            </w:r>
            <w:r w:rsidR="00FE2A6C">
              <w:rPr>
                <w:b/>
              </w:rPr>
              <w:t>,</w:t>
            </w:r>
            <w:r>
              <w:rPr>
                <w:b/>
              </w:rPr>
              <w:t xml:space="preserve"> хранение</w:t>
            </w:r>
            <w:r w:rsidR="00FE2A6C">
              <w:rPr>
                <w:b/>
              </w:rPr>
              <w:t>, срока оплаты стоимости перемещения и хранения</w:t>
            </w:r>
            <w:r>
              <w:rPr>
                <w:b/>
              </w:rPr>
              <w:t xml:space="preserve"> задержанных транспортных средств и маломерных судов на территории Петропавловск-Камчатского городского округа Камчатского края на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2025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год</w:t>
            </w:r>
          </w:p>
        </w:tc>
      </w:tr>
    </w:tbl>
    <w:p w:rsidR="00E37B54" w:rsidRDefault="00E37B54">
      <w:pPr>
        <w:ind w:firstLine="709"/>
        <w:jc w:val="both"/>
      </w:pPr>
    </w:p>
    <w:p w:rsidR="00E37B54" w:rsidRDefault="00E37B54">
      <w:pPr>
        <w:ind w:firstLine="709"/>
        <w:jc w:val="both"/>
      </w:pPr>
    </w:p>
    <w:p w:rsidR="00E37B54" w:rsidRDefault="00864BA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11 статьи 27.13 Кодекса Российской Федерации об административных правонарушениях, пунктом 2 статьи 3 Закона Камчатского края от 04.06.2012 № 42 «О порядке перемещения транспортных средств на специализированную стоянку, их хранения и возврата, оплаты стоимости их перемещения и хранения», приказом ФАС России от 15.08.2016 № 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оплаты», постановлением Пр</w:t>
      </w:r>
      <w:r w:rsidR="00FE2A6C">
        <w:rPr>
          <w:rFonts w:ascii="Times New Roman" w:hAnsi="Times New Roman" w:cs="Times New Roman"/>
          <w:sz w:val="28"/>
          <w:szCs w:val="28"/>
        </w:rPr>
        <w:t>авительства Камчатского края от </w:t>
      </w:r>
      <w:r>
        <w:rPr>
          <w:rFonts w:ascii="Times New Roman" w:hAnsi="Times New Roman" w:cs="Times New Roman"/>
          <w:sz w:val="28"/>
          <w:szCs w:val="28"/>
        </w:rPr>
        <w:t>07.04.2023 № 204-П «Об утверждении Положения о Региональной службе по тарифам и ценам Камчатского края»,</w:t>
      </w:r>
      <w:r w:rsidR="00FE2A6C">
        <w:rPr>
          <w:rFonts w:ascii="Times New Roman" w:hAnsi="Times New Roman" w:cs="Times New Roman"/>
          <w:sz w:val="28"/>
          <w:szCs w:val="28"/>
        </w:rPr>
        <w:t xml:space="preserve"> </w:t>
      </w:r>
      <w:r w:rsidR="00FE2A6C" w:rsidRPr="007C4818">
        <w:rPr>
          <w:rFonts w:ascii="Times New Roman" w:hAnsi="Times New Roman" w:cs="Times New Roman"/>
          <w:sz w:val="28"/>
          <w:szCs w:val="28"/>
        </w:rPr>
        <w:t xml:space="preserve">протоколом рассмотрения единственной заявки на участие в аукционе по </w:t>
      </w:r>
      <w:r w:rsidR="009769D9" w:rsidRPr="007C4818">
        <w:rPr>
          <w:rFonts w:ascii="Times New Roman" w:hAnsi="Times New Roman" w:cs="Times New Roman"/>
          <w:sz w:val="28"/>
          <w:szCs w:val="28"/>
        </w:rPr>
        <w:t>определению</w:t>
      </w:r>
      <w:r w:rsidR="00FE2A6C" w:rsidRPr="007C4818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эксплуатацию специализированной стоянки, а также перемещение задержанных транспортных средств и маломерных судов на специализированную стоянку, их хранение и возврат на территории Петропавловск-Камчатского городского о</w:t>
      </w:r>
      <w:r w:rsidR="009769D9" w:rsidRPr="007C4818">
        <w:rPr>
          <w:rFonts w:ascii="Times New Roman" w:hAnsi="Times New Roman" w:cs="Times New Roman"/>
          <w:sz w:val="28"/>
          <w:szCs w:val="28"/>
        </w:rPr>
        <w:t xml:space="preserve">круга Камчатского края от </w:t>
      </w:r>
      <w:r w:rsidR="008E1088">
        <w:rPr>
          <w:rFonts w:ascii="Times New Roman" w:hAnsi="Times New Roman" w:cs="Times New Roman"/>
          <w:sz w:val="28"/>
          <w:szCs w:val="28"/>
        </w:rPr>
        <w:t>23</w:t>
      </w:r>
      <w:r w:rsidR="009769D9" w:rsidRPr="007C4818">
        <w:rPr>
          <w:rFonts w:ascii="Times New Roman" w:hAnsi="Times New Roman" w:cs="Times New Roman"/>
          <w:sz w:val="28"/>
          <w:szCs w:val="28"/>
        </w:rPr>
        <w:t>.</w:t>
      </w:r>
      <w:r w:rsidR="008E1088">
        <w:rPr>
          <w:rFonts w:ascii="Times New Roman" w:hAnsi="Times New Roman" w:cs="Times New Roman"/>
          <w:sz w:val="28"/>
          <w:szCs w:val="28"/>
        </w:rPr>
        <w:t>06</w:t>
      </w:r>
      <w:r w:rsidR="009769D9" w:rsidRPr="007C4818">
        <w:rPr>
          <w:rFonts w:ascii="Times New Roman" w:hAnsi="Times New Roman" w:cs="Times New Roman"/>
          <w:sz w:val="28"/>
          <w:szCs w:val="28"/>
        </w:rPr>
        <w:t>.202</w:t>
      </w:r>
      <w:r w:rsidR="008E1088">
        <w:rPr>
          <w:rFonts w:ascii="Times New Roman" w:hAnsi="Times New Roman" w:cs="Times New Roman"/>
          <w:sz w:val="28"/>
          <w:szCs w:val="28"/>
        </w:rPr>
        <w:t>5</w:t>
      </w:r>
      <w:r w:rsidR="009769D9" w:rsidRPr="007C48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протоколом Правления Региональной службы по тарифам и ценам Камчатского края от </w:t>
      </w:r>
      <w:r>
        <w:rPr>
          <w:rFonts w:ascii="Times New Roman" w:hAnsi="Times New Roman" w:cs="Times New Roman"/>
          <w:sz w:val="28"/>
          <w:szCs w:val="28"/>
          <w:highlight w:val="yellow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088">
        <w:rPr>
          <w:rFonts w:ascii="Times New Roman" w:hAnsi="Times New Roman" w:cs="Times New Roman"/>
          <w:sz w:val="28"/>
          <w:szCs w:val="28"/>
          <w:highlight w:val="yellow"/>
        </w:rPr>
        <w:t>ХХ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769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yellow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B54" w:rsidRDefault="00E37B54">
      <w:pPr>
        <w:spacing w:line="360" w:lineRule="auto"/>
        <w:ind w:firstLine="709"/>
        <w:jc w:val="both"/>
      </w:pPr>
    </w:p>
    <w:p w:rsidR="00E37B54" w:rsidRDefault="00864BAD">
      <w:pPr>
        <w:spacing w:line="360" w:lineRule="auto"/>
        <w:ind w:firstLine="709"/>
        <w:jc w:val="both"/>
      </w:pPr>
      <w:r>
        <w:t>ПОСТАНОВЛЯЮ:</w:t>
      </w:r>
    </w:p>
    <w:p w:rsidR="00E37B54" w:rsidRDefault="00E37B54">
      <w:pPr>
        <w:spacing w:line="360" w:lineRule="auto"/>
        <w:ind w:firstLine="709"/>
        <w:jc w:val="both"/>
      </w:pPr>
    </w:p>
    <w:p w:rsidR="00E37B54" w:rsidRDefault="00864BAD">
      <w:pPr>
        <w:spacing w:line="360" w:lineRule="auto"/>
        <w:ind w:firstLine="709"/>
        <w:jc w:val="both"/>
      </w:pPr>
      <w:r>
        <w:t>1. Установить на 2025 год тариф</w:t>
      </w:r>
      <w:r w:rsidR="009769D9">
        <w:t>ы</w:t>
      </w:r>
      <w:r>
        <w:t xml:space="preserve"> на перемещение и хранение задержанных транспортных средств и маломерных судов на территории Петропавловск-Камчатского городского округа Камчатского края согласно приложению.</w:t>
      </w:r>
    </w:p>
    <w:p w:rsidR="009769D9" w:rsidRDefault="009769D9">
      <w:pPr>
        <w:spacing w:line="360" w:lineRule="auto"/>
        <w:ind w:firstLine="709"/>
        <w:jc w:val="both"/>
      </w:pPr>
      <w:r>
        <w:t xml:space="preserve">2. Установить предельный срок оплаты (отсрочки оплаты) стоимости перемещения и хранения транспортных средств и маломерных судов на территории Петропавловск-Камчатского городского округа Камчатского края </w:t>
      </w:r>
      <w:r>
        <w:br/>
        <w:t>– 30 календарных дней со дня перемещения.</w:t>
      </w:r>
    </w:p>
    <w:p w:rsidR="008E1088" w:rsidRDefault="008E1088">
      <w:pPr>
        <w:spacing w:line="360" w:lineRule="auto"/>
        <w:ind w:firstLine="709"/>
        <w:jc w:val="both"/>
      </w:pPr>
      <w:r>
        <w:t>3. Признать утратившим силу постановление Региональной службы по тарифам и ценам Камчатского края от 29.01.2025 № 6-Н «Об установлении тарифов на перемещение, хранение, срока оплаты стоимости перемещения, хранения задержанных транспортных средств и маломерных судов на территории Петропавловск-Камчатского городского округа Камчатского края на 2025 год».</w:t>
      </w:r>
    </w:p>
    <w:p w:rsidR="00E37B54" w:rsidRDefault="008E1088">
      <w:pPr>
        <w:spacing w:line="360" w:lineRule="auto"/>
        <w:ind w:firstLine="709"/>
        <w:jc w:val="both"/>
      </w:pPr>
      <w:r>
        <w:t>4</w:t>
      </w:r>
      <w:r w:rsidR="00864BAD">
        <w:t>. Настоящее постановление вступает в силу после дня его официального опубликования.</w:t>
      </w:r>
    </w:p>
    <w:p w:rsidR="00E37B54" w:rsidRDefault="00E37B54">
      <w:pPr>
        <w:spacing w:line="276" w:lineRule="auto"/>
        <w:ind w:firstLine="709"/>
        <w:jc w:val="both"/>
      </w:pPr>
    </w:p>
    <w:p w:rsidR="00E37B54" w:rsidRDefault="00E37B54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37B54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37B54" w:rsidRDefault="00864BAD">
            <w:pPr>
              <w:ind w:left="30" w:right="27"/>
            </w:pPr>
            <w: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37B54" w:rsidRDefault="00864BAD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37B54" w:rsidRDefault="00E37B54">
            <w:pPr>
              <w:ind w:left="142" w:hanging="142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37B54" w:rsidRDefault="00864BAD">
            <w:pPr>
              <w:jc w:val="right"/>
            </w:pPr>
            <w:r>
              <w:t>М.В. Лопатникова</w:t>
            </w:r>
          </w:p>
        </w:tc>
      </w:tr>
    </w:tbl>
    <w:p w:rsidR="00E37B54" w:rsidRDefault="00E37B54">
      <w:pPr>
        <w:spacing w:line="276" w:lineRule="auto"/>
        <w:ind w:firstLine="709"/>
        <w:jc w:val="both"/>
      </w:pPr>
    </w:p>
    <w:p w:rsidR="00E37B54" w:rsidRDefault="00864BAD">
      <w:pPr>
        <w:rPr>
          <w:szCs w:val="28"/>
        </w:rPr>
      </w:pPr>
      <w:r>
        <w:rPr>
          <w:szCs w:val="28"/>
        </w:rPr>
        <w:br w:type="page" w:clear="all"/>
      </w:r>
    </w:p>
    <w:p w:rsidR="00E37B54" w:rsidRDefault="00E37B54">
      <w:pPr>
        <w:jc w:val="both"/>
      </w:pPr>
    </w:p>
    <w:p w:rsidR="00E37B54" w:rsidRDefault="00864BAD">
      <w:pPr>
        <w:ind w:left="4536"/>
        <w:jc w:val="both"/>
      </w:pPr>
      <w:r>
        <w:t>Приложение к постановлению</w:t>
      </w:r>
    </w:p>
    <w:p w:rsidR="00E37B54" w:rsidRDefault="00864BAD">
      <w:pPr>
        <w:ind w:left="4536"/>
        <w:jc w:val="both"/>
      </w:pPr>
      <w:r>
        <w:t>Региональной службы по тарифам и ценам Камчатского края</w:t>
      </w:r>
    </w:p>
    <w:p w:rsidR="00E37B54" w:rsidRDefault="00864BAD">
      <w:pPr>
        <w:ind w:left="4536"/>
        <w:jc w:val="both"/>
      </w:pPr>
      <w:r>
        <w:t xml:space="preserve">от </w:t>
      </w:r>
      <w:r>
        <w:rPr>
          <w:highlight w:val="yellow"/>
        </w:rPr>
        <w:t>ХХ.ХХ</w:t>
      </w:r>
      <w:r>
        <w:t>.202</w:t>
      </w:r>
      <w:r w:rsidR="009769D9">
        <w:t>5</w:t>
      </w:r>
      <w:r>
        <w:t xml:space="preserve"> № </w:t>
      </w:r>
      <w:r>
        <w:rPr>
          <w:highlight w:val="yellow"/>
        </w:rPr>
        <w:t>ХХХ</w:t>
      </w:r>
      <w:r>
        <w:t>-Н</w:t>
      </w:r>
    </w:p>
    <w:p w:rsidR="00E37B54" w:rsidRDefault="00E37B54"/>
    <w:p w:rsidR="00E37B54" w:rsidRDefault="009769D9">
      <w:pPr>
        <w:widowControl w:val="0"/>
        <w:jc w:val="center"/>
        <w:rPr>
          <w:b/>
          <w:bCs/>
          <w:szCs w:val="28"/>
        </w:rPr>
      </w:pPr>
      <w:r>
        <w:rPr>
          <w:szCs w:val="28"/>
        </w:rPr>
        <w:t>Тарифы</w:t>
      </w:r>
      <w:r w:rsidR="00864BAD">
        <w:rPr>
          <w:szCs w:val="28"/>
        </w:rPr>
        <w:t xml:space="preserve"> на перемещение и хранение задержанных транспортных средств и маломерных судов на территории </w:t>
      </w:r>
      <w:r w:rsidR="00864BAD">
        <w:rPr>
          <w:szCs w:val="28"/>
        </w:rPr>
        <w:br/>
        <w:t>Петропавловска-Камчатского городского округа Камчатского края на 2025 год</w:t>
      </w:r>
    </w:p>
    <w:p w:rsidR="00E37B54" w:rsidRDefault="00E37B5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2"/>
      </w:tblGrid>
      <w:tr w:rsidR="00E37B54" w:rsidTr="0077652A">
        <w:tc>
          <w:tcPr>
            <w:tcW w:w="3285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категории транспортного средства</w:t>
            </w:r>
          </w:p>
        </w:tc>
        <w:tc>
          <w:tcPr>
            <w:tcW w:w="3286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w="3282" w:type="dxa"/>
            <w:vAlign w:val="center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Базовый тариф на перемещение, в рублях за одно транспортное средство</w:t>
            </w:r>
          </w:p>
        </w:tc>
      </w:tr>
      <w:tr w:rsidR="00E37B54" w:rsidTr="0077652A">
        <w:tc>
          <w:tcPr>
            <w:tcW w:w="9853" w:type="dxa"/>
            <w:gridSpan w:val="3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Транспортные средства: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категории «А», «М»</w:t>
            </w:r>
          </w:p>
        </w:tc>
        <w:tc>
          <w:tcPr>
            <w:tcW w:w="3286" w:type="dxa"/>
            <w:vAlign w:val="center"/>
          </w:tcPr>
          <w:p w:rsidR="00E37B54" w:rsidRDefault="008E10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3282" w:type="dxa"/>
            <w:vAlign w:val="center"/>
          </w:tcPr>
          <w:p w:rsidR="00E37B54" w:rsidRDefault="008E10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9 406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3286" w:type="dxa"/>
            <w:vAlign w:val="center"/>
          </w:tcPr>
          <w:p w:rsidR="00E37B54" w:rsidRDefault="008E1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282" w:type="dxa"/>
            <w:vAlign w:val="center"/>
          </w:tcPr>
          <w:p w:rsidR="00E37B54" w:rsidRDefault="008E1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14 688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3286" w:type="dxa"/>
            <w:vAlign w:val="center"/>
          </w:tcPr>
          <w:p w:rsidR="00E37B54" w:rsidRDefault="008E1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282" w:type="dxa"/>
            <w:vAlign w:val="center"/>
          </w:tcPr>
          <w:p w:rsidR="00E37B54" w:rsidRDefault="008E1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21 707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негабаритные транспортные средства</w:t>
            </w:r>
          </w:p>
        </w:tc>
        <w:tc>
          <w:tcPr>
            <w:tcW w:w="3286" w:type="dxa"/>
            <w:vAlign w:val="center"/>
          </w:tcPr>
          <w:p w:rsidR="00864BAD" w:rsidRDefault="008E1088" w:rsidP="00864B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3282" w:type="dxa"/>
            <w:vAlign w:val="center"/>
          </w:tcPr>
          <w:p w:rsidR="00E37B54" w:rsidRDefault="008E1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28 942</w:t>
            </w:r>
          </w:p>
        </w:tc>
      </w:tr>
      <w:tr w:rsidR="00E37B54" w:rsidTr="0077652A">
        <w:tc>
          <w:tcPr>
            <w:tcW w:w="9853" w:type="dxa"/>
            <w:gridSpan w:val="3"/>
          </w:tcPr>
          <w:p w:rsidR="00E37B54" w:rsidRDefault="00864B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Маломерные суда: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судно длиной до 5 м</w:t>
            </w:r>
          </w:p>
        </w:tc>
        <w:tc>
          <w:tcPr>
            <w:tcW w:w="3286" w:type="dxa"/>
            <w:vAlign w:val="center"/>
          </w:tcPr>
          <w:p w:rsidR="00E37B54" w:rsidRDefault="008E10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</w:t>
            </w:r>
          </w:p>
        </w:tc>
        <w:tc>
          <w:tcPr>
            <w:tcW w:w="3282" w:type="dxa"/>
            <w:vAlign w:val="center"/>
          </w:tcPr>
          <w:p w:rsidR="00E37B54" w:rsidRDefault="008E10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26 263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судно длиной от 5 м до 10 м</w:t>
            </w:r>
          </w:p>
        </w:tc>
        <w:tc>
          <w:tcPr>
            <w:tcW w:w="3286" w:type="dxa"/>
            <w:vAlign w:val="center"/>
          </w:tcPr>
          <w:p w:rsidR="00E37B54" w:rsidRDefault="008E10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342</w:t>
            </w:r>
          </w:p>
        </w:tc>
        <w:tc>
          <w:tcPr>
            <w:tcW w:w="3282" w:type="dxa"/>
            <w:vAlign w:val="center"/>
          </w:tcPr>
          <w:p w:rsidR="00E37B54" w:rsidRDefault="008E10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40 262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судно длиной от 10 м до 15 м</w:t>
            </w:r>
          </w:p>
        </w:tc>
        <w:tc>
          <w:tcPr>
            <w:tcW w:w="3286" w:type="dxa"/>
            <w:vAlign w:val="center"/>
          </w:tcPr>
          <w:p w:rsidR="00E37B54" w:rsidRDefault="008E10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456</w:t>
            </w:r>
          </w:p>
        </w:tc>
        <w:tc>
          <w:tcPr>
            <w:tcW w:w="3282" w:type="dxa"/>
            <w:vAlign w:val="center"/>
          </w:tcPr>
          <w:p w:rsidR="00E37B54" w:rsidRDefault="008E10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46 973</w:t>
            </w:r>
          </w:p>
        </w:tc>
      </w:tr>
      <w:tr w:rsidR="00E37B54" w:rsidTr="0077652A">
        <w:tc>
          <w:tcPr>
            <w:tcW w:w="3285" w:type="dxa"/>
          </w:tcPr>
          <w:p w:rsidR="00E37B54" w:rsidRDefault="00864B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судно длиной от 15 м до 20 м</w:t>
            </w:r>
          </w:p>
        </w:tc>
        <w:tc>
          <w:tcPr>
            <w:tcW w:w="3286" w:type="dxa"/>
            <w:vAlign w:val="center"/>
          </w:tcPr>
          <w:p w:rsidR="00E37B54" w:rsidRDefault="008E10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616</w:t>
            </w:r>
          </w:p>
        </w:tc>
        <w:tc>
          <w:tcPr>
            <w:tcW w:w="3282" w:type="dxa"/>
            <w:vAlign w:val="center"/>
          </w:tcPr>
          <w:p w:rsidR="00E37B54" w:rsidRDefault="008E10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63 749</w:t>
            </w:r>
          </w:p>
        </w:tc>
      </w:tr>
    </w:tbl>
    <w:p w:rsidR="00E37B54" w:rsidRDefault="00E37B54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</w:p>
    <w:p w:rsidR="00E37B54" w:rsidRDefault="00864BA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Примечания:</w:t>
      </w:r>
    </w:p>
    <w:p w:rsidR="00E37B54" w:rsidRDefault="00864BAD">
      <w:pPr>
        <w:pStyle w:val="af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Срок хранения на специализированной стоянке исчисляется в часах с момента его помещения на специализированную стоянку.</w:t>
      </w:r>
    </w:p>
    <w:p w:rsidR="00E37B54" w:rsidRDefault="00864BAD">
      <w:pPr>
        <w:pStyle w:val="af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Тариф за перемещение на специализирова</w:t>
      </w:r>
      <w:bookmarkStart w:id="2" w:name="_GoBack"/>
      <w:bookmarkEnd w:id="2"/>
      <w:r>
        <w:t>нную стоянку взимается независимо от времени и расстояния перемещения на специализированную стоянку.</w:t>
      </w:r>
    </w:p>
    <w:p w:rsidR="00E37B54" w:rsidRDefault="00864BAD">
      <w:pPr>
        <w:pStyle w:val="af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Тариф на перемещение включает в себя погрузочно-разгрузочные работы и иные действия, связанные с перемещением.</w:t>
      </w:r>
    </w:p>
    <w:p w:rsidR="0077652A" w:rsidRDefault="0077652A">
      <w:pPr>
        <w:pStyle w:val="afc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Тарифы на перемещение и хранение задержанных транспортных средств являются предельной величиной для исчисления, независимо от системы налогообложения.</w:t>
      </w:r>
    </w:p>
    <w:p w:rsidR="00E37B54" w:rsidRDefault="00E37B54">
      <w:pPr>
        <w:widowControl w:val="0"/>
        <w:ind w:left="-142" w:firstLine="142"/>
        <w:jc w:val="center"/>
        <w:rPr>
          <w:szCs w:val="28"/>
        </w:rPr>
      </w:pPr>
    </w:p>
    <w:sectPr w:rsidR="00E37B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54" w:rsidRDefault="00864BAD">
      <w:r>
        <w:separator/>
      </w:r>
    </w:p>
  </w:endnote>
  <w:endnote w:type="continuationSeparator" w:id="0">
    <w:p w:rsidR="00E37B54" w:rsidRDefault="0086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54" w:rsidRDefault="00864BAD">
      <w:r>
        <w:separator/>
      </w:r>
    </w:p>
  </w:footnote>
  <w:footnote w:type="continuationSeparator" w:id="0">
    <w:p w:rsidR="00E37B54" w:rsidRDefault="0086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40D"/>
    <w:multiLevelType w:val="hybridMultilevel"/>
    <w:tmpl w:val="065C5DD0"/>
    <w:lvl w:ilvl="0" w:tplc="5A4A28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29C8838">
      <w:start w:val="1"/>
      <w:numFmt w:val="lowerLetter"/>
      <w:lvlText w:val="%2."/>
      <w:lvlJc w:val="left"/>
      <w:pPr>
        <w:ind w:left="1789" w:hanging="360"/>
      </w:pPr>
    </w:lvl>
    <w:lvl w:ilvl="2" w:tplc="36F241AC">
      <w:start w:val="1"/>
      <w:numFmt w:val="lowerRoman"/>
      <w:lvlText w:val="%3."/>
      <w:lvlJc w:val="right"/>
      <w:pPr>
        <w:ind w:left="2509" w:hanging="180"/>
      </w:pPr>
    </w:lvl>
    <w:lvl w:ilvl="3" w:tplc="F2568864">
      <w:start w:val="1"/>
      <w:numFmt w:val="decimal"/>
      <w:lvlText w:val="%4."/>
      <w:lvlJc w:val="left"/>
      <w:pPr>
        <w:ind w:left="3229" w:hanging="360"/>
      </w:pPr>
    </w:lvl>
    <w:lvl w:ilvl="4" w:tplc="C5A0FFD0">
      <w:start w:val="1"/>
      <w:numFmt w:val="lowerLetter"/>
      <w:lvlText w:val="%5."/>
      <w:lvlJc w:val="left"/>
      <w:pPr>
        <w:ind w:left="3949" w:hanging="360"/>
      </w:pPr>
    </w:lvl>
    <w:lvl w:ilvl="5" w:tplc="5EF0B3D6">
      <w:start w:val="1"/>
      <w:numFmt w:val="lowerRoman"/>
      <w:lvlText w:val="%6."/>
      <w:lvlJc w:val="right"/>
      <w:pPr>
        <w:ind w:left="4669" w:hanging="180"/>
      </w:pPr>
    </w:lvl>
    <w:lvl w:ilvl="6" w:tplc="B3C03BD6">
      <w:start w:val="1"/>
      <w:numFmt w:val="decimal"/>
      <w:lvlText w:val="%7."/>
      <w:lvlJc w:val="left"/>
      <w:pPr>
        <w:ind w:left="5389" w:hanging="360"/>
      </w:pPr>
    </w:lvl>
    <w:lvl w:ilvl="7" w:tplc="CA0CEC50">
      <w:start w:val="1"/>
      <w:numFmt w:val="lowerLetter"/>
      <w:lvlText w:val="%8."/>
      <w:lvlJc w:val="left"/>
      <w:pPr>
        <w:ind w:left="6109" w:hanging="360"/>
      </w:pPr>
    </w:lvl>
    <w:lvl w:ilvl="8" w:tplc="707251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5E5AA5"/>
    <w:multiLevelType w:val="hybridMultilevel"/>
    <w:tmpl w:val="49F6EB7A"/>
    <w:lvl w:ilvl="0" w:tplc="492A3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04912">
      <w:start w:val="1"/>
      <w:numFmt w:val="lowerLetter"/>
      <w:lvlText w:val="%2."/>
      <w:lvlJc w:val="left"/>
      <w:pPr>
        <w:ind w:left="1440" w:hanging="360"/>
      </w:pPr>
    </w:lvl>
    <w:lvl w:ilvl="2" w:tplc="BDF6140E">
      <w:start w:val="1"/>
      <w:numFmt w:val="lowerRoman"/>
      <w:lvlText w:val="%3."/>
      <w:lvlJc w:val="right"/>
      <w:pPr>
        <w:ind w:left="2160" w:hanging="180"/>
      </w:pPr>
    </w:lvl>
    <w:lvl w:ilvl="3" w:tplc="DAE2CBCC">
      <w:start w:val="1"/>
      <w:numFmt w:val="decimal"/>
      <w:lvlText w:val="%4."/>
      <w:lvlJc w:val="left"/>
      <w:pPr>
        <w:ind w:left="2880" w:hanging="360"/>
      </w:pPr>
    </w:lvl>
    <w:lvl w:ilvl="4" w:tplc="DF50BB62">
      <w:start w:val="1"/>
      <w:numFmt w:val="lowerLetter"/>
      <w:lvlText w:val="%5."/>
      <w:lvlJc w:val="left"/>
      <w:pPr>
        <w:ind w:left="3600" w:hanging="360"/>
      </w:pPr>
    </w:lvl>
    <w:lvl w:ilvl="5" w:tplc="268C103C">
      <w:start w:val="1"/>
      <w:numFmt w:val="lowerRoman"/>
      <w:lvlText w:val="%6."/>
      <w:lvlJc w:val="right"/>
      <w:pPr>
        <w:ind w:left="4320" w:hanging="180"/>
      </w:pPr>
    </w:lvl>
    <w:lvl w:ilvl="6" w:tplc="39642950">
      <w:start w:val="1"/>
      <w:numFmt w:val="decimal"/>
      <w:lvlText w:val="%7."/>
      <w:lvlJc w:val="left"/>
      <w:pPr>
        <w:ind w:left="5040" w:hanging="360"/>
      </w:pPr>
    </w:lvl>
    <w:lvl w:ilvl="7" w:tplc="642C6BB0">
      <w:start w:val="1"/>
      <w:numFmt w:val="lowerLetter"/>
      <w:lvlText w:val="%8."/>
      <w:lvlJc w:val="left"/>
      <w:pPr>
        <w:ind w:left="5760" w:hanging="360"/>
      </w:pPr>
    </w:lvl>
    <w:lvl w:ilvl="8" w:tplc="D4D44A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00CB2"/>
    <w:multiLevelType w:val="hybridMultilevel"/>
    <w:tmpl w:val="7A2A2940"/>
    <w:lvl w:ilvl="0" w:tplc="FA9E2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4961186">
      <w:start w:val="1"/>
      <w:numFmt w:val="lowerLetter"/>
      <w:lvlText w:val="%2."/>
      <w:lvlJc w:val="left"/>
      <w:pPr>
        <w:ind w:left="1789" w:hanging="360"/>
      </w:pPr>
    </w:lvl>
    <w:lvl w:ilvl="2" w:tplc="B0821434">
      <w:start w:val="1"/>
      <w:numFmt w:val="lowerRoman"/>
      <w:lvlText w:val="%3."/>
      <w:lvlJc w:val="right"/>
      <w:pPr>
        <w:ind w:left="2509" w:hanging="180"/>
      </w:pPr>
    </w:lvl>
    <w:lvl w:ilvl="3" w:tplc="713A50D0">
      <w:start w:val="1"/>
      <w:numFmt w:val="decimal"/>
      <w:lvlText w:val="%4."/>
      <w:lvlJc w:val="left"/>
      <w:pPr>
        <w:ind w:left="3229" w:hanging="360"/>
      </w:pPr>
    </w:lvl>
    <w:lvl w:ilvl="4" w:tplc="A6DA7752">
      <w:start w:val="1"/>
      <w:numFmt w:val="lowerLetter"/>
      <w:lvlText w:val="%5."/>
      <w:lvlJc w:val="left"/>
      <w:pPr>
        <w:ind w:left="3949" w:hanging="360"/>
      </w:pPr>
    </w:lvl>
    <w:lvl w:ilvl="5" w:tplc="01346DBE">
      <w:start w:val="1"/>
      <w:numFmt w:val="lowerRoman"/>
      <w:lvlText w:val="%6."/>
      <w:lvlJc w:val="right"/>
      <w:pPr>
        <w:ind w:left="4669" w:hanging="180"/>
      </w:pPr>
    </w:lvl>
    <w:lvl w:ilvl="6" w:tplc="725EFDAA">
      <w:start w:val="1"/>
      <w:numFmt w:val="decimal"/>
      <w:lvlText w:val="%7."/>
      <w:lvlJc w:val="left"/>
      <w:pPr>
        <w:ind w:left="5389" w:hanging="360"/>
      </w:pPr>
    </w:lvl>
    <w:lvl w:ilvl="7" w:tplc="132C04BA">
      <w:start w:val="1"/>
      <w:numFmt w:val="lowerLetter"/>
      <w:lvlText w:val="%8."/>
      <w:lvlJc w:val="left"/>
      <w:pPr>
        <w:ind w:left="6109" w:hanging="360"/>
      </w:pPr>
    </w:lvl>
    <w:lvl w:ilvl="8" w:tplc="C44AF3E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0A221C"/>
    <w:multiLevelType w:val="hybridMultilevel"/>
    <w:tmpl w:val="98C4452A"/>
    <w:lvl w:ilvl="0" w:tplc="CDAA7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EEE118">
      <w:start w:val="1"/>
      <w:numFmt w:val="lowerLetter"/>
      <w:lvlText w:val="%2."/>
      <w:lvlJc w:val="left"/>
      <w:pPr>
        <w:ind w:left="1789" w:hanging="360"/>
      </w:pPr>
    </w:lvl>
    <w:lvl w:ilvl="2" w:tplc="E76A58C4">
      <w:start w:val="1"/>
      <w:numFmt w:val="lowerRoman"/>
      <w:lvlText w:val="%3."/>
      <w:lvlJc w:val="right"/>
      <w:pPr>
        <w:ind w:left="2509" w:hanging="180"/>
      </w:pPr>
    </w:lvl>
    <w:lvl w:ilvl="3" w:tplc="BD82B4D4">
      <w:start w:val="1"/>
      <w:numFmt w:val="decimal"/>
      <w:lvlText w:val="%4."/>
      <w:lvlJc w:val="left"/>
      <w:pPr>
        <w:ind w:left="3229" w:hanging="360"/>
      </w:pPr>
    </w:lvl>
    <w:lvl w:ilvl="4" w:tplc="E072F076">
      <w:start w:val="1"/>
      <w:numFmt w:val="lowerLetter"/>
      <w:lvlText w:val="%5."/>
      <w:lvlJc w:val="left"/>
      <w:pPr>
        <w:ind w:left="3949" w:hanging="360"/>
      </w:pPr>
    </w:lvl>
    <w:lvl w:ilvl="5" w:tplc="6FE8764E">
      <w:start w:val="1"/>
      <w:numFmt w:val="lowerRoman"/>
      <w:lvlText w:val="%6."/>
      <w:lvlJc w:val="right"/>
      <w:pPr>
        <w:ind w:left="4669" w:hanging="180"/>
      </w:pPr>
    </w:lvl>
    <w:lvl w:ilvl="6" w:tplc="195E82EA">
      <w:start w:val="1"/>
      <w:numFmt w:val="decimal"/>
      <w:lvlText w:val="%7."/>
      <w:lvlJc w:val="left"/>
      <w:pPr>
        <w:ind w:left="5389" w:hanging="360"/>
      </w:pPr>
    </w:lvl>
    <w:lvl w:ilvl="7" w:tplc="B5B0BFD8">
      <w:start w:val="1"/>
      <w:numFmt w:val="lowerLetter"/>
      <w:lvlText w:val="%8."/>
      <w:lvlJc w:val="left"/>
      <w:pPr>
        <w:ind w:left="6109" w:hanging="360"/>
      </w:pPr>
    </w:lvl>
    <w:lvl w:ilvl="8" w:tplc="523ACBB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54"/>
    <w:rsid w:val="0077652A"/>
    <w:rsid w:val="007C4818"/>
    <w:rsid w:val="00864BAD"/>
    <w:rsid w:val="008E1088"/>
    <w:rsid w:val="009769D9"/>
    <w:rsid w:val="00E37B54"/>
    <w:rsid w:val="00FE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8428"/>
  <w15:docId w15:val="{125FD60C-14EA-462D-BEEB-223D216E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f4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6">
    <w:name w:val="Hyperlink"/>
    <w:rPr>
      <w:color w:val="0000FF"/>
      <w:u w:val="single"/>
    </w:rPr>
  </w:style>
  <w:style w:type="paragraph" w:customStyle="1" w:styleId="af7">
    <w:name w:val="Комментарий"/>
    <w:basedOn w:val="a"/>
    <w:next w:val="a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8">
    <w:name w:val="endnote text"/>
    <w:basedOn w:val="a"/>
    <w:link w:val="af9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</w:style>
  <w:style w:type="character" w:styleId="afa">
    <w:name w:val="endnote reference"/>
    <w:rPr>
      <w:vertAlign w:val="superscript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b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F64F-A113-4333-9175-38E2C244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Брагин Кирилл Валерьевич</cp:lastModifiedBy>
  <cp:revision>26</cp:revision>
  <cp:lastPrinted>2025-01-15T03:56:00Z</cp:lastPrinted>
  <dcterms:created xsi:type="dcterms:W3CDTF">2021-12-27T21:08:00Z</dcterms:created>
  <dcterms:modified xsi:type="dcterms:W3CDTF">2025-07-09T03:44:00Z</dcterms:modified>
</cp:coreProperties>
</file>