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 постановлению Правительства Камчатского края от 30.04.2025 № 2</w:t>
      </w:r>
      <w:r>
        <w:rPr>
          <w:rStyle w:val="Style_3_ch"/>
          <w:rFonts w:ascii="Times New Roman" w:hAnsi="Times New Roman"/>
          <w:b w:val="1"/>
          <w:sz w:val="28"/>
        </w:rPr>
        <w:t>04-П «</w:t>
      </w:r>
      <w:r>
        <w:rPr>
          <w:rStyle w:val="Style_3_ch"/>
          <w:rFonts w:ascii="Times New Roman" w:hAnsi="Times New Roman"/>
          <w:b w:val="1"/>
          <w:sz w:val="28"/>
        </w:rPr>
        <w:t xml:space="preserve">Об утверждении Положения о региональном государственном контроле </w:t>
      </w:r>
      <w:r>
        <w:rPr>
          <w:rStyle w:val="Style_3_ch"/>
          <w:rFonts w:ascii="Times New Roman" w:hAnsi="Times New Roman"/>
          <w:b w:val="1"/>
          <w:sz w:val="28"/>
        </w:rPr>
        <w:t xml:space="preserve">(надзоре) в области продажи безалкогольных тонизирующих напитков </w:t>
      </w:r>
      <w:r>
        <w:rPr>
          <w:rStyle w:val="Style_3_ch"/>
          <w:rFonts w:ascii="Times New Roman" w:hAnsi="Times New Roman"/>
          <w:b w:val="1"/>
          <w:sz w:val="28"/>
        </w:rPr>
        <w:t>(в том числе энергетических) на территории Камчатского края</w:t>
      </w:r>
      <w:r>
        <w:rPr>
          <w:rStyle w:val="Style_3_ch"/>
          <w:rFonts w:ascii="Times New Roman" w:hAnsi="Times New Roman"/>
          <w:b w:val="1"/>
          <w:sz w:val="28"/>
        </w:rPr>
        <w:t>»</w:t>
      </w: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экспертное заключение Управления Министерства юстиции Российской Федерации по Камчатскому краю от 11.06.2025 № 41/02-1620/25,</w:t>
      </w: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от 30.04.2025 № 2</w:t>
      </w:r>
      <w:r>
        <w:rPr>
          <w:rStyle w:val="Style_3_ch"/>
          <w:rFonts w:ascii="Times New Roman" w:hAnsi="Times New Roman"/>
          <w:sz w:val="28"/>
        </w:rPr>
        <w:t>04-П «</w:t>
      </w:r>
      <w:r>
        <w:rPr>
          <w:rStyle w:val="Style_3_ch"/>
          <w:rFonts w:ascii="Times New Roman" w:hAnsi="Times New Roman"/>
          <w:sz w:val="28"/>
        </w:rPr>
        <w:t xml:space="preserve">Об утверждении Положения о региональном государственном контроле </w:t>
      </w:r>
      <w:r>
        <w:rPr>
          <w:rStyle w:val="Style_3_ch"/>
          <w:rFonts w:ascii="Times New Roman" w:hAnsi="Times New Roman"/>
          <w:sz w:val="28"/>
        </w:rPr>
        <w:t xml:space="preserve">(надзоре) в области продажи безалкогольных тонизирующих напитков </w:t>
      </w:r>
      <w:r>
        <w:rPr>
          <w:rStyle w:val="Style_3_ch"/>
          <w:rFonts w:ascii="Times New Roman" w:hAnsi="Times New Roman"/>
          <w:sz w:val="28"/>
        </w:rPr>
        <w:t>(в том числе энергетических) на территории Камчатского края</w:t>
      </w:r>
      <w:r>
        <w:rPr>
          <w:rStyle w:val="Style_3_ch"/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изменения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C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D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E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1000000">
            <w:pPr>
              <w:spacing w:after="0" w:line="240" w:lineRule="auto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</w:tbl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9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приложение к постановлению Правительства Камчатского кра</w:t>
      </w:r>
      <w:r>
        <w:rPr>
          <w:rStyle w:val="Style_3_ch"/>
          <w:rFonts w:ascii="Times New Roman" w:hAnsi="Times New Roman"/>
          <w:sz w:val="28"/>
        </w:rPr>
        <w:t xml:space="preserve">я </w:t>
      </w:r>
      <w:r>
        <w:rPr>
          <w:rStyle w:val="Style_3_ch"/>
          <w:rFonts w:ascii="Times New Roman" w:hAnsi="Times New Roman"/>
          <w:sz w:val="28"/>
        </w:rPr>
        <w:t>от 30.04.2025 № 2</w:t>
      </w:r>
      <w:r>
        <w:rPr>
          <w:rStyle w:val="Style_3_ch"/>
          <w:rFonts w:ascii="Times New Roman" w:hAnsi="Times New Roman"/>
          <w:sz w:val="28"/>
        </w:rPr>
        <w:t>04-П «</w:t>
      </w:r>
      <w:r>
        <w:rPr>
          <w:rStyle w:val="Style_3_ch"/>
          <w:rFonts w:ascii="Times New Roman" w:hAnsi="Times New Roman"/>
          <w:sz w:val="28"/>
        </w:rPr>
        <w:t xml:space="preserve">Об утверждении Положения о региональном государственном контроле </w:t>
      </w:r>
      <w:r>
        <w:rPr>
          <w:rStyle w:val="Style_3_ch"/>
          <w:rFonts w:ascii="Times New Roman" w:hAnsi="Times New Roman"/>
          <w:sz w:val="28"/>
        </w:rPr>
        <w:t xml:space="preserve">(надзоре) в области продажи безалкогольных тонизирующих напитков </w:t>
      </w:r>
      <w:r>
        <w:rPr>
          <w:rStyle w:val="Style_3_ch"/>
          <w:rFonts w:ascii="Times New Roman" w:hAnsi="Times New Roman"/>
          <w:sz w:val="28"/>
        </w:rPr>
        <w:t>(в том числе энергетических) на территории Камчатского края</w:t>
      </w:r>
      <w:r>
        <w:rPr>
          <w:rStyle w:val="Style_3_ch"/>
          <w:rFonts w:ascii="Times New Roman" w:hAnsi="Times New Roman"/>
          <w:sz w:val="28"/>
        </w:rPr>
        <w:t>»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асть 6 дополнить пунктом 3 следующего содержания: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 заместитель Министра экономического развития Камчатского края.».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 </w:t>
      </w:r>
      <w:r>
        <w:rPr>
          <w:rFonts w:ascii="Times New Roman" w:hAnsi="Times New Roman"/>
          <w:sz w:val="28"/>
        </w:rPr>
        <w:t>В абзаце втором части 12 слова «единого портала» заменить словами «Единого портала».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В части 20 слова «разработки и утверждения» заменить словами «разработки, утверждения и актуализации».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Абзац третий части 26 изложить в следующей редакции</w:t>
      </w:r>
      <w:r>
        <w:rPr>
          <w:rFonts w:ascii="Times New Roman" w:hAnsi="Times New Roman"/>
          <w:sz w:val="28"/>
        </w:rPr>
        <w:t>: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«Доклад о правоприменительной практике утверждается приказом Министерства экономического развития Камчатского края и размещается на официальном сайте Министерства в срок не позднее 5 рабочих дней со дня его утверждения.».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Дополнить частью 38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44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«38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– Руководителем Аппарата Правительства Российской Федерации, Губернатора Камчатского края о проведении обязательных профилактических визитов должны содержать сведения, указанные в части 7 статьи 52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№ 248-ФЗ.».</w:t>
      </w:r>
    </w:p>
    <w:p w14:paraId="4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Дополнить частями 39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39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46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«39</w:t>
      </w:r>
      <w:r>
        <w:rPr>
          <w:rStyle w:val="Style_3_ch"/>
          <w:rFonts w:ascii="Times New Roman" w:hAnsi="Times New Roman"/>
          <w:color w:val="000000"/>
          <w:sz w:val="28"/>
          <w:vertAlign w:val="superscript"/>
        </w:rPr>
        <w:t>1</w:t>
      </w:r>
      <w:r>
        <w:rPr>
          <w:rStyle w:val="Style_3_ch"/>
          <w:rFonts w:ascii="Times New Roman" w:hAnsi="Times New Roman"/>
          <w:color w:val="000000"/>
          <w:sz w:val="28"/>
        </w:rPr>
        <w:t xml:space="preserve">. </w:t>
      </w:r>
      <w:r>
        <w:rPr>
          <w:rStyle w:val="Style_3_ch"/>
          <w:rFonts w:ascii="Times New Roman" w:hAnsi="Times New Roman"/>
          <w:color w:val="000000"/>
          <w:sz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экспертизы.</w:t>
      </w:r>
    </w:p>
    <w:p w14:paraId="47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39</w:t>
      </w:r>
      <w:r>
        <w:rPr>
          <w:rFonts w:ascii="Times New Roman" w:hAnsi="Times New Roman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экспертизу.».</w:t>
      </w:r>
    </w:p>
    <w:p w14:paraId="4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Дополнить частями 41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41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4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«41</w:t>
      </w:r>
      <w:r>
        <w:rPr>
          <w:rFonts w:ascii="Times New Roman" w:hAnsi="Times New Roman"/>
          <w:sz w:val="28"/>
          <w:vertAlign w:val="superscript"/>
        </w:rPr>
        <w:t xml:space="preserve">1. </w:t>
      </w:r>
      <w:r>
        <w:rPr>
          <w:rFonts w:ascii="Times New Roman" w:hAnsi="Times New Roman"/>
          <w:sz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248-ФЗ.</w:t>
      </w:r>
    </w:p>
    <w:p w14:paraId="4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случае невозможности проведения обязательного профилактического визита должностное лицо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лица.».</w:t>
      </w:r>
    </w:p>
    <w:p w14:paraId="4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В части 42 слова </w:t>
      </w:r>
      <w:r>
        <w:rPr>
          <w:rFonts w:ascii="Times New Roman" w:hAnsi="Times New Roman"/>
          <w:sz w:val="28"/>
        </w:rPr>
        <w:t xml:space="preserve">«единого портала государственных и муниципальных услуг или регионального портала государственных и муниципальных услуг» заменить словами «Единого портала государственных и муниципальных услуг (функций) </w:t>
      </w:r>
      <w:r>
        <w:rPr>
          <w:rFonts w:ascii="Times New Roman" w:hAnsi="Times New Roman"/>
          <w:sz w:val="28"/>
        </w:rPr>
        <w:t>и (или) портала государственных и муниципальных услуг (функций) Камчатского края».</w:t>
      </w:r>
    </w:p>
    <w:p w14:paraId="4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Часть 70 дополнить пунктами 6 и 7 следующего содержания:</w:t>
      </w:r>
    </w:p>
    <w:p w14:paraId="4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«6) отбор проб (образцов);</w:t>
      </w:r>
    </w:p>
    <w:p w14:paraId="4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экспертиза.».</w:t>
      </w:r>
    </w:p>
    <w:p w14:paraId="4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Дополнить частями 70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-70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5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Осмотр</w:t>
      </w:r>
      <w:r>
        <w:rPr>
          <w:rFonts w:ascii="Times New Roman" w:hAnsi="Times New Roman"/>
          <w:sz w:val="28"/>
        </w:rPr>
        <w:t> осуществляется в соответствии со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"https://internet.garant.ru/#/document/74449814/entry/76"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76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Федерального закона № 248-ФЗ.</w:t>
      </w:r>
    </w:p>
    <w:p w14:paraId="5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14:paraId="5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осмотра инспектором составляется протокол осмотра,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14:paraId="5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Досмот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 осуществляется в соответствии со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"https://internet.garant.ru/#/document/74449814/entry/77"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77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Федерального закона № 248-ФЗ.</w:t>
      </w:r>
    </w:p>
    <w:p w14:paraId="5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осуществляется только в случае пресечения нарушения запретов и ограничений продажи безалкогольных тонизирующих напитков (в том числе энергетических) </w:t>
      </w:r>
      <w:r>
        <w:rPr>
          <w:rFonts w:ascii="Times New Roman" w:hAnsi="Times New Roman"/>
          <w:sz w:val="28"/>
        </w:rPr>
        <w:t>и (или) предотвращения сокрытия доказательств нарушения обязательных требований, оценка соблюдения которых осуществляется в рамках регионального государственного контроля, с обязательным применением видеозаписи.</w:t>
      </w:r>
    </w:p>
    <w:p w14:paraId="5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досмотра инспектором составляется протокол досмотра, в который вносится перечень досмотренных помещений (отсеков),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мероприятия.</w:t>
      </w:r>
    </w:p>
    <w:p w14:paraId="5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Опрос</w:t>
      </w:r>
      <w:r>
        <w:rPr>
          <w:rFonts w:ascii="Times New Roman" w:hAnsi="Times New Roman"/>
          <w:sz w:val="28"/>
        </w:rPr>
        <w:t xml:space="preserve"> проводится в соответствии со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"https://internet.garant.ru/#/document/74449814/entry/78"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78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Федерального закона № 248-ФЗ.</w:t>
      </w:r>
    </w:p>
    <w:p w14:paraId="5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14:paraId="5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«Инспектор.</w:t>
      </w:r>
    </w:p>
    <w:p w14:paraId="5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Получение письменных объяснений</w:t>
      </w:r>
      <w:r>
        <w:rPr>
          <w:rFonts w:ascii="Times New Roman" w:hAnsi="Times New Roman"/>
          <w:sz w:val="28"/>
        </w:rPr>
        <w:t xml:space="preserve"> проводится в соответствии со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"https://internet.garant.ru/#/document/74449814/entry/79"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79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 Федерального закона № 248-ФЗ. </w:t>
      </w:r>
    </w:p>
    <w:p w14:paraId="5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Письменные </w:t>
      </w:r>
      <w:r>
        <w:rPr>
          <w:rFonts w:ascii="Times New Roman" w:hAnsi="Times New Roman"/>
          <w:sz w:val="28"/>
        </w:rPr>
        <w:t>объяснения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оформляются путем составления письменного документа в свободной форме.</w:t>
      </w:r>
    </w:p>
    <w:p w14:paraId="5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Инспектор вправе собственноручно составить </w:t>
      </w:r>
      <w:r>
        <w:rPr>
          <w:rFonts w:ascii="Times New Roman" w:hAnsi="Times New Roman"/>
          <w:sz w:val="28"/>
        </w:rPr>
        <w:t>письменные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ъяснения со слов должностных лиц или работников организации, являющихся контролируемыми лицами, их представителей, свидетелей. В этом случае указанные лица знаком</w:t>
      </w:r>
      <w:r>
        <w:rPr>
          <w:rFonts w:ascii="Times New Roman" w:hAnsi="Times New Roman"/>
          <w:sz w:val="28"/>
        </w:rPr>
        <w:t xml:space="preserve">ятся с </w:t>
      </w:r>
      <w:r>
        <w:rPr>
          <w:rFonts w:ascii="Times New Roman" w:hAnsi="Times New Roman"/>
          <w:sz w:val="28"/>
        </w:rPr>
        <w:t>письменными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объя</w:t>
      </w:r>
      <w:r>
        <w:rPr>
          <w:rFonts w:ascii="Times New Roman" w:hAnsi="Times New Roman"/>
          <w:sz w:val="28"/>
        </w:rPr>
        <w:t xml:space="preserve">снениями, при необходимости </w:t>
      </w:r>
      <w:r>
        <w:rPr>
          <w:rFonts w:ascii="Times New Roman" w:hAnsi="Times New Roman"/>
          <w:sz w:val="28"/>
        </w:rPr>
        <w:t>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14:paraId="5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Истребование документов</w:t>
      </w:r>
      <w:r>
        <w:rPr>
          <w:rFonts w:ascii="Times New Roman" w:hAnsi="Times New Roman"/>
          <w:sz w:val="28"/>
        </w:rPr>
        <w:t xml:space="preserve"> проводится в соответствии со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"https://internet.garant.ru/#/document/74449814/entry/80"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80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Федерального закона № 248-ФЗ.</w:t>
      </w:r>
    </w:p>
    <w:p w14:paraId="5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Истребуемые документы направляются в Министерство в форме электронного документа в порядке, предусмотренном статьей 21 Федерального закона № 248-ФЗ, за исключением случаев, если Министерством установлена необходимость представления документов на бумажном носителе. Документы могут быть представлены в Министерство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</w:r>
      <w:r>
        <w:rPr>
          <w:rFonts w:ascii="Times New Roman" w:hAnsi="Times New Roman"/>
          <w:sz w:val="28"/>
        </w:rPr>
        <w:t>подлинники документов</w:t>
      </w:r>
      <w:r>
        <w:rPr>
          <w:rFonts w:ascii="Times New Roman" w:hAnsi="Times New Roman"/>
          <w:sz w:val="28"/>
        </w:rPr>
        <w:t xml:space="preserve"> либо заверенные контролируемым лицом копии. Не допускается требование нотариального удостоверения копий документов, представляемых в Министерство. Тиражирование копий документов на бумажном носителе и их доставка в Министерство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</w:r>
    </w:p>
    <w:p w14:paraId="5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представления заверенных контролируемым лицом копий истребуемых документов инспектор вправе ознакомиться с подлинниками документов.</w:t>
      </w:r>
    </w:p>
    <w:p w14:paraId="5F000000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sz w:val="28"/>
        </w:rPr>
        <w:t xml:space="preserve">Документы, которые </w:t>
      </w:r>
      <w:r>
        <w:rPr>
          <w:rFonts w:ascii="Times New Roman" w:hAnsi="Times New Roman"/>
          <w:sz w:val="28"/>
        </w:rPr>
        <w:t>истребуются</w:t>
      </w:r>
      <w:r>
        <w:rPr>
          <w:rFonts w:ascii="Times New Roman" w:hAnsi="Times New Roman"/>
          <w:sz w:val="28"/>
        </w:rPr>
        <w:t xml:space="preserve"> в ходе контрольного (надзорного) мероприятия, должны быть представлены контролируемым лицом инспектору в срок, указанный в требовании о представлении документов. В случае если контролируемое лицо не имеет возможности представить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</w:t>
      </w:r>
      <w:r>
        <w:rPr>
          <w:rFonts w:ascii="Times New Roman" w:hAnsi="Times New Roman"/>
          <w:color w:val="22272F"/>
          <w:sz w:val="28"/>
        </w:rPr>
        <w:t xml:space="preserve">сти представления </w:t>
      </w:r>
      <w:r>
        <w:rPr>
          <w:rFonts w:ascii="Times New Roman" w:hAnsi="Times New Roman"/>
          <w:sz w:val="28"/>
        </w:rPr>
        <w:t>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"https://internet.garant.ru/#/document/74449814/entry/21"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21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Федерального закона № 248-ФЗ</w:t>
      </w:r>
      <w:r>
        <w:rPr>
          <w:rFonts w:ascii="Times New Roman" w:hAnsi="Times New Roman"/>
          <w:color w:val="22272F"/>
          <w:sz w:val="28"/>
        </w:rPr>
        <w:t>.</w:t>
      </w:r>
    </w:p>
    <w:p w14:paraId="6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 (копии документов), ранее представленные контролируемым лицом в Министерство, независимо от оснований их представления, могут не представляться повторно при условии уведомления Министерства о том, что истребуемые документы (копии документов) были представлены ранее,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с указанием реквизитов документа, которым (приложением к которому) они </w:t>
      </w:r>
      <w:r>
        <w:rPr>
          <w:rFonts w:ascii="Times New Roman" w:hAnsi="Times New Roman"/>
          <w:color w:val="22272F"/>
          <w:sz w:val="28"/>
        </w:rPr>
        <w:t>были представлены.</w:t>
      </w:r>
    </w:p>
    <w:p w14:paraId="61000000">
      <w:pPr>
        <w:spacing w:after="0" w:line="240" w:lineRule="auto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>. Отбор проб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образцов) осуществляется в порядке, предусмотренном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"https://internet.garant.ru/#/document/74449814/entry/81"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81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Федерального закона № 248-ФЗ.</w:t>
      </w:r>
    </w:p>
    <w:p w14:paraId="62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Отбор проб (образцов) осуществляется должностными лицами Министерства в присутствии контролируемого лица или его представителя и (или) с применением видеозаписи.</w:t>
      </w:r>
    </w:p>
    <w:p w14:paraId="63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Отбор проб (образцов) осуществляется по месту проведения должностными лицами контрольных (надзорных) мероприятий посредством выборки в количестве двух единиц каждого наименования </w:t>
      </w:r>
      <w:r>
        <w:rPr>
          <w:rFonts w:ascii="Times New Roman" w:hAnsi="Times New Roman"/>
          <w:sz w:val="28"/>
          <w:shd w:fill="FFA2CF" w:val="clear"/>
        </w:rPr>
        <w:t>алкогольной и (или) спиртосодержащей продукции с признаками поддельности федеральных специальных марок, недостоверности обязательной маркировки средствами идентификации и (или) с признаками нарушений обязательных требований, из общего количества алкогольной и (или) спиртосодержащей продукции с признаками нарушений обязательных требований, выявленной при проведении контрольного (надзорного) мероприятия</w:t>
      </w:r>
      <w:r>
        <w:rPr>
          <w:rFonts w:ascii="Times New Roman" w:hAnsi="Times New Roman"/>
          <w:sz w:val="28"/>
        </w:rPr>
        <w:t>.</w:t>
      </w:r>
    </w:p>
    <w:p w14:paraId="6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отбора проб (образцов) </w:t>
      </w:r>
      <w:r>
        <w:rPr>
          <w:rFonts w:ascii="Times New Roman" w:hAnsi="Times New Roman"/>
          <w:sz w:val="28"/>
          <w:shd w:fill="FFA2CF" w:val="clear"/>
        </w:rPr>
        <w:t>а</w:t>
      </w:r>
      <w:r>
        <w:rPr>
          <w:rFonts w:ascii="Times New Roman" w:hAnsi="Times New Roman"/>
          <w:sz w:val="28"/>
          <w:shd w:fill="FFA2CF" w:val="clear"/>
        </w:rPr>
        <w:t>л</w:t>
      </w:r>
      <w:r>
        <w:rPr>
          <w:rFonts w:ascii="Times New Roman" w:hAnsi="Times New Roman"/>
          <w:sz w:val="28"/>
          <w:shd w:fill="FFA2CF" w:val="clear"/>
        </w:rPr>
        <w:t>когольной и (или) спиртосодержащей продукции</w:t>
      </w:r>
      <w:r>
        <w:rPr>
          <w:rFonts w:ascii="Times New Roman" w:hAnsi="Times New Roman"/>
          <w:sz w:val="28"/>
        </w:rPr>
        <w:t xml:space="preserve"> должностным лицом или привлеченным им лицом составляется протокол отбора проб (образцов), в котором указываются дат</w:t>
      </w:r>
      <w:r>
        <w:rPr>
          <w:rFonts w:ascii="Times New Roman" w:hAnsi="Times New Roman"/>
          <w:sz w:val="28"/>
        </w:rPr>
        <w:t>а и место его составления, должность, фамилия и инициалы инспектора, эксперта или специалиста, составивших</w:t>
      </w:r>
      <w:r>
        <w:rPr>
          <w:rFonts w:ascii="Times New Roman" w:hAnsi="Times New Roman"/>
          <w:sz w:val="28"/>
        </w:rPr>
        <w:t xml:space="preserve"> протокол, сведения о контролируемом лице или его представителе, присутствовавших при отборе проб (образцов), использованные методики отбора проб (образцов), иные сведения, имеющие значение для идентификации проб (образцов).</w:t>
      </w:r>
    </w:p>
    <w:p w14:paraId="6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отказа контролируемого лица или его представителя от подписания протокола отбора образцов инспектор, эксперт или специалист делает соответствующую отметку.</w:t>
      </w:r>
    </w:p>
    <w:p w14:paraId="6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. Экспертиза</w:t>
      </w:r>
      <w:r>
        <w:rPr>
          <w:rFonts w:ascii="Times New Roman" w:hAnsi="Times New Roman"/>
          <w:sz w:val="28"/>
        </w:rPr>
        <w:t xml:space="preserve"> осуществляется в порядке, предусмотренном 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"https://internet.garant.ru/#/document/74449814/entry/84"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84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Федерального закона № 248-ФЗ.</w:t>
      </w:r>
    </w:p>
    <w:p w14:paraId="6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Экспертиза осуществляется экспертом или экспертной организацией по поручению Министерства.</w:t>
      </w:r>
    </w:p>
    <w:p w14:paraId="6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невозможности транспортировки образца исследования к месту работы эксперта Министерство обеспечивает ему беспрепятственный доступ к образцу и необходимые условия для исследования в следующих случаях:</w:t>
      </w:r>
    </w:p>
    <w:p w14:paraId="6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образец исследования является крупногабаритным;</w:t>
      </w:r>
    </w:p>
    <w:p w14:paraId="6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образец исследования является хрупким.».</w:t>
      </w:r>
    </w:p>
    <w:p w14:paraId="6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Часть 74 после слов «такого мероприятия» дополнить словами «в соответствии с абзацем вторым части 71 настоящего Положения».</w:t>
      </w:r>
    </w:p>
    <w:p w14:paraId="6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 xml:space="preserve">В части 78 слова </w:t>
      </w:r>
      <w:r>
        <w:rPr>
          <w:rFonts w:ascii="Times New Roman" w:hAnsi="Times New Roman"/>
          <w:sz w:val="28"/>
        </w:rPr>
        <w:t>«единого портала государственных и муниципальных услуг и (или) регионального портала государственных и муниципальных услуг» заменить словами «Единого портала государственных и муниципальных услуг (функций) и (или) портала государственных и муниципальных услуг (функций) Камчатского края».</w:t>
      </w:r>
    </w:p>
    <w:p w14:paraId="6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В части 79 слова «Жалоба на решения руководителя» заменить словами «Жалоба на решения контрольного (надзорного) органа».</w:t>
      </w:r>
    </w:p>
    <w:p w14:paraId="6E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 xml:space="preserve">В части 90 слова </w:t>
      </w:r>
      <w:r>
        <w:rPr>
          <w:rFonts w:ascii="Times New Roman" w:hAnsi="Times New Roman"/>
          <w:sz w:val="28"/>
        </w:rPr>
        <w:t>«на едином портале государственных и муниципальных услуг и (или) региональном портале государственных и муниципальных услуг» заменить словами «на Едином портале государственных и муниципальных услуг (функций) и (или) портале государственных и муниципальных услуг (функций) Камчатского края».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2"/>
    <w:next w:val="Style_3"/>
    <w:link w:val="Style_6_ch"/>
    <w:uiPriority w:val="39"/>
    <w:pPr>
      <w:ind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4"/>
    <w:next w:val="Style_3"/>
    <w:link w:val="Style_8_ch"/>
    <w:uiPriority w:val="39"/>
    <w:pPr>
      <w:ind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Plain Text"/>
    <w:basedOn w:val="Style_3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3_ch"/>
    <w:link w:val="Style_11"/>
    <w:rPr>
      <w:rFonts w:ascii="Calibri" w:hAnsi="Calibri"/>
    </w:rPr>
  </w:style>
  <w:style w:styleId="Style_12" w:type="paragraph">
    <w:name w:val="Endnote"/>
    <w:link w:val="Style_12_ch"/>
    <w:pPr>
      <w:ind w:firstLine="851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Гиперссылка1"/>
    <w:basedOn w:val="Style_5"/>
    <w:link w:val="Style_16_ch"/>
    <w:rPr>
      <w:color w:themeColor="hyperlink" w:val="0563C1"/>
      <w:u w:val="single"/>
    </w:rPr>
  </w:style>
  <w:style w:styleId="Style_16_ch" w:type="character">
    <w:name w:val="Гиперссылка1"/>
    <w:basedOn w:val="Style_5_ch"/>
    <w:link w:val="Style_16"/>
    <w:rPr>
      <w:color w:themeColor="hyperlink" w:val="0563C1"/>
      <w:u w:val="single"/>
    </w:rPr>
  </w:style>
  <w:style w:styleId="Style_17" w:type="paragraph">
    <w:name w:val="toc 3"/>
    <w:next w:val="Style_3"/>
    <w:link w:val="Style_17_ch"/>
    <w:uiPriority w:val="39"/>
    <w:pPr>
      <w:ind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heading 1"/>
    <w:next w:val="Style_3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3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3_ch"/>
    <w:link w:val="Style_27"/>
    <w:rPr>
      <w:rFonts w:ascii="Times New Roman" w:hAnsi="Times New Roman"/>
      <w:sz w:val="28"/>
    </w:rPr>
  </w:style>
  <w:style w:styleId="Style_28" w:type="paragraph">
    <w:name w:val="toc 9"/>
    <w:next w:val="Style_3"/>
    <w:link w:val="Style_28_ch"/>
    <w:uiPriority w:val="39"/>
    <w:pPr>
      <w:ind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Balloon Text"/>
    <w:basedOn w:val="Style_3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3_ch"/>
    <w:link w:val="Style_30"/>
    <w:rPr>
      <w:rFonts w:ascii="Segoe UI" w:hAnsi="Segoe UI"/>
      <w:sz w:val="18"/>
    </w:rPr>
  </w:style>
  <w:style w:styleId="Style_31" w:type="paragraph">
    <w:name w:val="toc 8"/>
    <w:next w:val="Style_3"/>
    <w:link w:val="Style_31_ch"/>
    <w:uiPriority w:val="39"/>
    <w:pPr>
      <w:ind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3"/>
    <w:link w:val="Style_32_ch"/>
    <w:uiPriority w:val="39"/>
    <w:pPr>
      <w:ind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3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3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2025-06-25T04:39:50Z</dcterms:modified>
</cp:coreProperties>
</file>