
<file path=[Content_Types].xml><?xml version="1.0" encoding="utf-8"?>
<Types xmlns="http://schemas.openxmlformats.org/package/2006/content-types">
  <Default ContentType="image/png" Extension="png"/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3000000">
      <w:pPr>
        <w:spacing w:after="0" w:line="276" w:lineRule="auto"/>
        <w:ind/>
        <w:rPr>
          <w:rFonts w:ascii="Times New Roman" w:hAnsi="Times New Roman"/>
          <w:sz w:val="28"/>
        </w:rPr>
      </w:pPr>
      <w:bookmarkStart w:id="1" w:name="_GoBack"/>
      <w:bookmarkEnd w:id="1"/>
      <w:r>
        <w:rPr>
          <w:rFonts w:ascii="Times New Roman" w:hAnsi="Times New Roman"/>
          <w:sz w:val="32"/>
        </w:rPr>
        <w:drawing>
          <wp:anchor allowOverlap="true" behindDoc="true" distB="0" distL="114300" distR="114300" distT="0" layoutInCell="true" locked="false" relativeHeight="251658240" simplePos="false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47700" cy="807720"/>
            <wp:effectExtent b="0" l="0" r="0" t="0"/>
            <wp:wrapTight distL="114300" distR="114300" wrapText="bothSides">
              <wp:wrapPolygon>
                <wp:start x="0" y="0"/>
                <wp:lineTo x="0" y="20887"/>
                <wp:lineTo x="20965" y="20887"/>
                <wp:lineTo x="20965" y="0"/>
                <wp:lineTo x="0" y="0"/>
              </wp:wrapPolygon>
            </wp:wrapTight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3"/>
                    <a:srcRect b="0" l="0" r="0" t="0"/>
                    <a:stretch/>
                  </pic:blipFill>
                  <pic:spPr>
                    <a:xfrm flipH="false" flipV="false" rot="0">
                      <a:ext cx="647700" cy="80772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4000000">
      <w:pPr>
        <w:spacing w:after="0" w:line="360" w:lineRule="auto"/>
        <w:ind/>
        <w:jc w:val="center"/>
        <w:rPr>
          <w:rFonts w:ascii="Times New Roman" w:hAnsi="Times New Roman"/>
          <w:sz w:val="32"/>
        </w:rPr>
      </w:pPr>
    </w:p>
    <w:p w14:paraId="05000000">
      <w:pPr>
        <w:spacing w:after="0" w:line="240" w:lineRule="auto"/>
        <w:ind/>
        <w:jc w:val="center"/>
        <w:rPr>
          <w:rFonts w:ascii="Times New Roman" w:hAnsi="Times New Roman"/>
          <w:b w:val="1"/>
          <w:sz w:val="32"/>
        </w:rPr>
      </w:pPr>
    </w:p>
    <w:p w14:paraId="06000000">
      <w:pPr>
        <w:spacing w:after="0" w:line="240" w:lineRule="auto"/>
        <w:ind/>
        <w:rPr>
          <w:rFonts w:ascii="Times New Roman" w:hAnsi="Times New Roman"/>
          <w:b w:val="1"/>
          <w:sz w:val="32"/>
        </w:rPr>
      </w:pPr>
    </w:p>
    <w:p w14:paraId="07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МИНИСТЕРСТВО </w:t>
      </w:r>
      <w:r>
        <w:rPr>
          <w:rFonts w:ascii="Times New Roman" w:hAnsi="Times New Roman"/>
          <w:b w:val="1"/>
          <w:sz w:val="28"/>
        </w:rPr>
        <w:t>ИМУЩЕСТВЕННЫХ</w:t>
      </w:r>
    </w:p>
    <w:p w14:paraId="08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И ЗЕМЕЛЬНЫХ ОТНОШЕНИЙ</w:t>
      </w:r>
    </w:p>
    <w:p w14:paraId="09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КАМЧАТСКОГО КРАЯ</w:t>
      </w:r>
    </w:p>
    <w:p w14:paraId="0A000000">
      <w:pPr>
        <w:spacing w:after="0" w:line="240" w:lineRule="auto"/>
        <w:ind/>
        <w:jc w:val="center"/>
        <w:rPr>
          <w:rFonts w:ascii="Times New Roman" w:hAnsi="Times New Roman"/>
          <w:sz w:val="24"/>
        </w:rPr>
      </w:pPr>
    </w:p>
    <w:p w14:paraId="0B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ПРИКАЗ</w:t>
      </w:r>
    </w:p>
    <w:p w14:paraId="0C000000">
      <w:pPr>
        <w:spacing w:after="0" w:line="240" w:lineRule="auto"/>
        <w:ind/>
        <w:jc w:val="center"/>
        <w:rPr>
          <w:rFonts w:ascii="Times New Roman" w:hAnsi="Times New Roman"/>
          <w:sz w:val="28"/>
        </w:rPr>
      </w:pPr>
    </w:p>
    <w:p w14:paraId="0D000000">
      <w:pPr>
        <w:spacing w:after="0" w:line="240" w:lineRule="auto"/>
        <w:ind w:firstLine="709" w:left="0"/>
        <w:jc w:val="center"/>
        <w:rPr>
          <w:rFonts w:ascii="Times New Roman" w:hAnsi="Times New Roman"/>
          <w:sz w:val="20"/>
        </w:rPr>
      </w:pPr>
    </w:p>
    <w:tbl>
      <w:tblPr>
        <w:tblStyle w:val="Style_2"/>
        <w:tblLayout w:type="fixed"/>
        <w:tblCellMar>
          <w:left w:type="dxa" w:w="0"/>
          <w:right w:type="dxa" w:w="0"/>
        </w:tblCellMar>
      </w:tblPr>
      <w:tblGrid>
        <w:gridCol w:w="4253"/>
      </w:tblGrid>
      <w:tr>
        <w:trPr>
          <w:trHeight w:hRule="atLeast" w:val="232"/>
        </w:trPr>
        <w:tc>
          <w:tcPr>
            <w:tcW w:type="dxa" w:w="4253"/>
            <w:tcBorders>
              <w:top w:sz="4" w:val="nil"/>
              <w:left w:sz="4" w:val="nil"/>
              <w:right w:sz="4" w:val="nil"/>
            </w:tcBorders>
            <w:tcMar>
              <w:left w:type="dxa" w:w="0"/>
              <w:right w:type="dxa" w:w="0"/>
            </w:tcMar>
          </w:tcPr>
          <w:p w14:paraId="0E000000">
            <w:pPr>
              <w:spacing w:after="0" w:line="240" w:lineRule="auto"/>
              <w:ind w:hanging="142" w:left="142"/>
              <w:rPr>
                <w:rFonts w:ascii="Times New Roman" w:hAnsi="Times New Roman"/>
                <w:sz w:val="24"/>
              </w:rPr>
            </w:pPr>
            <w:bookmarkStart w:id="2" w:name="REGNUMDATESTAMP"/>
            <w:r>
              <w:rPr>
                <w:rFonts w:ascii="Times New Roman" w:hAnsi="Times New Roman"/>
                <w:color w:val="FFFFFF"/>
                <w:sz w:val="24"/>
              </w:rPr>
              <w:t>[Дата регистрации] № [Номер</w:t>
            </w:r>
            <w:r>
              <w:rPr>
                <w:rFonts w:ascii="Times New Roman" w:hAnsi="Times New Roman"/>
                <w:color w:val="FFFFFF"/>
                <w:sz w:val="20"/>
              </w:rPr>
              <w:t xml:space="preserve"> документа</w:t>
            </w:r>
            <w:r>
              <w:rPr>
                <w:rFonts w:ascii="Times New Roman" w:hAnsi="Times New Roman"/>
                <w:color w:val="FFFFFF"/>
                <w:sz w:val="24"/>
              </w:rPr>
              <w:t>]</w:t>
            </w:r>
            <w:bookmarkEnd w:id="2"/>
          </w:p>
        </w:tc>
      </w:tr>
      <w:tr>
        <w:trPr>
          <w:trHeight w:hRule="atLeast" w:val="247"/>
        </w:trPr>
        <w:tc>
          <w:tcPr>
            <w:tcW w:type="dxa" w:w="4253"/>
            <w:tcBorders>
              <w:left w:sz="4" w:val="nil"/>
              <w:bottom w:sz="4" w:val="nil"/>
              <w:right w:sz="4" w:val="nil"/>
            </w:tcBorders>
            <w:tcMar>
              <w:left w:type="dxa" w:w="0"/>
              <w:right w:type="dxa" w:w="0"/>
            </w:tcMar>
          </w:tcPr>
          <w:p w14:paraId="0F000000">
            <w:pPr>
              <w:spacing w:after="0" w:line="240" w:lineRule="auto"/>
              <w:ind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</w:rPr>
              <w:t>г. Петропавловск-Камчатский</w:t>
            </w:r>
          </w:p>
        </w:tc>
      </w:tr>
      <w:tr>
        <w:trPr>
          <w:trHeight w:hRule="atLeast" w:val="80"/>
        </w:trPr>
        <w:tc>
          <w:tcPr>
            <w:tcW w:type="dxa" w:w="4253"/>
            <w:tcMar>
              <w:left w:type="dxa" w:w="0"/>
              <w:right w:type="dxa" w:w="0"/>
            </w:tcMar>
          </w:tcPr>
          <w:p w14:paraId="10000000">
            <w:pPr>
              <w:spacing w:after="0" w:line="240" w:lineRule="auto"/>
              <w:ind/>
              <w:jc w:val="both"/>
              <w:rPr>
                <w:rFonts w:ascii="Times New Roman" w:hAnsi="Times New Roman"/>
                <w:sz w:val="20"/>
              </w:rPr>
            </w:pPr>
          </w:p>
        </w:tc>
      </w:tr>
    </w:tbl>
    <w:p w14:paraId="11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tbl>
      <w:tblPr>
        <w:tblStyle w:val="Style_3"/>
        <w:tblBorders>
          <w:top w:color="000000" w:sz="4" w:val="nil"/>
          <w:left w:color="000000" w:sz="4" w:val="nil"/>
          <w:bottom w:color="000000" w:sz="4" w:val="nil"/>
          <w:right w:color="000000" w:sz="4" w:val="nil"/>
          <w:insideH w:color="000000" w:sz="4" w:val="nil"/>
          <w:insideV w:color="000000" w:sz="4" w:val="nil"/>
        </w:tblBorders>
        <w:tblLayout w:type="fixed"/>
      </w:tblPr>
      <w:tblGrid>
        <w:gridCol w:w="9637"/>
      </w:tblGrid>
      <w:tr>
        <w:tc>
          <w:tcPr>
            <w:tcW w:type="dxa" w:w="9637"/>
            <w:tcBorders>
              <w:top w:sz="4" w:val="nil"/>
              <w:left w:sz="4" w:val="nil"/>
              <w:bottom w:sz="4" w:val="nil"/>
              <w:right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2000000">
            <w:pPr>
              <w:spacing w:after="0" w:line="240" w:lineRule="auto"/>
              <w:ind w:firstLine="0" w:left="30"/>
              <w:jc w:val="center"/>
              <w:rPr>
                <w:rFonts w:ascii="Times New Roman" w:hAnsi="Times New Roman"/>
                <w:b w:val="1"/>
                <w:spacing w:val="0"/>
                <w:sz w:val="28"/>
              </w:rPr>
            </w:pP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О внесении изменений в 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>приказ Министерства имущественных</w:t>
            </w:r>
            <w:r>
              <w:rPr>
                <w:b w:val="1"/>
                <w:spacing w:val="0"/>
              </w:rPr>
              <w:br/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и земельных отношений Камчатского края 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от 14.02.2025 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>№ 8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-Н 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>«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Об установлении публичного сервитута в целях эксплуатации 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объекта электросетевого хозяйства 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>«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Сооружение ВЛЭП 35 кВ </w:t>
            </w:r>
          </w:p>
          <w:p w14:paraId="13000000">
            <w:pPr>
              <w:spacing w:after="0" w:line="240" w:lineRule="auto"/>
              <w:ind w:firstLine="0" w:left="30"/>
              <w:jc w:val="center"/>
              <w:rPr>
                <w:rFonts w:ascii="Times New Roman" w:hAnsi="Times New Roman"/>
                <w:b w:val="1"/>
                <w:spacing w:val="0"/>
                <w:sz w:val="28"/>
              </w:rPr>
            </w:pP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на деревянных опорах протяженностью 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25 км» </w:t>
            </w:r>
          </w:p>
          <w:p w14:paraId="14000000">
            <w:pPr>
              <w:spacing w:after="0" w:line="240" w:lineRule="auto"/>
              <w:ind w:firstLine="0" w:left="30"/>
              <w:jc w:val="center"/>
              <w:rPr>
                <w:rFonts w:ascii="Times New Roman" w:hAnsi="Times New Roman"/>
                <w:b w:val="1"/>
                <w:spacing w:val="0"/>
                <w:sz w:val="28"/>
              </w:rPr>
            </w:pPr>
            <w:r>
              <w:rPr>
                <w:rFonts w:ascii="Times New Roman" w:hAnsi="Times New Roman"/>
                <w:b w:val="1"/>
                <w:spacing w:val="0"/>
                <w:sz w:val="28"/>
              </w:rPr>
              <w:t>c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 кадастровым номером 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>41:05:0000000:933»</w:t>
            </w:r>
          </w:p>
        </w:tc>
      </w:tr>
    </w:tbl>
    <w:p w14:paraId="15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6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7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соответствии со статьей 23, главой V.7 Земельного кодекса Российской Федерации, </w:t>
      </w:r>
      <w:r>
        <w:rPr>
          <w:rFonts w:ascii="Times New Roman" w:hAnsi="Times New Roman"/>
          <w:sz w:val="28"/>
        </w:rPr>
        <w:t xml:space="preserve">статьей 3.6 Федерального закона от 25.10.2001 № 137-ФЗ </w:t>
      </w:r>
      <w:r>
        <w:rPr>
          <w:rFonts w:ascii="Times New Roman" w:hAnsi="Times New Roman"/>
          <w:sz w:val="28"/>
        </w:rPr>
        <w:br/>
      </w:r>
      <w:r>
        <w:rPr>
          <w:rFonts w:ascii="Times New Roman" w:hAnsi="Times New Roman"/>
          <w:sz w:val="28"/>
        </w:rPr>
        <w:t xml:space="preserve">«О введении в действие Земельного кодекса Российской Федерации», </w:t>
      </w:r>
      <w:r>
        <w:rPr>
          <w:rFonts w:ascii="Times New Roman" w:hAnsi="Times New Roman"/>
          <w:sz w:val="28"/>
        </w:rPr>
        <w:t xml:space="preserve">Схемой территориального планирования Камчатского края, утвержденной Постановлением Правительства Камчатского края от </w:t>
      </w:r>
      <w:r>
        <w:rPr>
          <w:rFonts w:ascii="Times New Roman" w:hAnsi="Times New Roman"/>
          <w:sz w:val="28"/>
        </w:rPr>
        <w:t>12.12.2022 № 669-П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руководствуясь пунктом 24.3 Положения о Министерстве имущественных и земельных отношений Камчатского кра</w:t>
      </w:r>
      <w:r>
        <w:rPr>
          <w:rFonts w:ascii="Times New Roman" w:hAnsi="Times New Roman"/>
          <w:sz w:val="28"/>
        </w:rPr>
        <w:t xml:space="preserve">я, утвержденного постановлением Правительства Камчатского края от 27.09.2022 № 508-П, </w:t>
      </w:r>
      <w:r>
        <w:rPr>
          <w:rFonts w:ascii="Times New Roman" w:hAnsi="Times New Roman"/>
          <w:sz w:val="28"/>
        </w:rPr>
        <w:t xml:space="preserve">на основании </w:t>
      </w:r>
      <w:r>
        <w:rPr>
          <w:rFonts w:ascii="Times New Roman" w:hAnsi="Times New Roman"/>
          <w:sz w:val="28"/>
        </w:rPr>
        <w:t>ходатайства П</w:t>
      </w:r>
      <w:r>
        <w:rPr>
          <w:rFonts w:ascii="Times New Roman" w:hAnsi="Times New Roman"/>
          <w:sz w:val="28"/>
        </w:rPr>
        <w:t>убличного акционерного общества энергетики и электрификации «Камчатскэнерго»</w:t>
      </w:r>
      <w:r>
        <w:rPr>
          <w:rFonts w:ascii="Times New Roman" w:hAnsi="Times New Roman"/>
          <w:sz w:val="28"/>
        </w:rPr>
        <w:t xml:space="preserve"> от 16.01.2025, </w:t>
      </w:r>
      <w:r>
        <w:rPr>
          <w:rFonts w:ascii="Times New Roman" w:hAnsi="Times New Roman"/>
          <w:sz w:val="28"/>
        </w:rPr>
        <w:t>писем ППК «Роскадастр» от 17.03.2025</w:t>
      </w:r>
      <w:r>
        <w:br/>
      </w:r>
      <w:r>
        <w:rPr>
          <w:rFonts w:ascii="Times New Roman" w:hAnsi="Times New Roman"/>
          <w:sz w:val="28"/>
        </w:rPr>
        <w:t xml:space="preserve">№ 0905/25, </w:t>
      </w:r>
      <w:r>
        <w:rPr>
          <w:rFonts w:ascii="Times New Roman" w:hAnsi="Times New Roman"/>
          <w:sz w:val="28"/>
        </w:rPr>
        <w:t>П</w:t>
      </w:r>
      <w:r>
        <w:rPr>
          <w:rFonts w:ascii="Times New Roman" w:hAnsi="Times New Roman"/>
          <w:sz w:val="28"/>
        </w:rPr>
        <w:t>убличного акционерного общества энергетики и электрификации «Камчатскэнерго»</w:t>
      </w:r>
      <w:r>
        <w:rPr>
          <w:rFonts w:ascii="Times New Roman" w:hAnsi="Times New Roman"/>
          <w:sz w:val="28"/>
        </w:rPr>
        <w:t xml:space="preserve"> от 10.04.2025 № 06-02/2373</w:t>
      </w:r>
    </w:p>
    <w:p w14:paraId="18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9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ПРИКАЗЫВАЮ</w:t>
      </w:r>
      <w:r>
        <w:rPr>
          <w:rFonts w:ascii="Times New Roman" w:hAnsi="Times New Roman"/>
          <w:sz w:val="28"/>
        </w:rPr>
        <w:t>:</w:t>
      </w:r>
    </w:p>
    <w:p w14:paraId="1A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B000000">
      <w:pPr>
        <w:numPr>
          <w:numId w:val="1"/>
        </w:num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Внести в приказ Министерства имущественных и земельных отношений Камчатского края </w:t>
      </w:r>
      <w:r>
        <w:rPr>
          <w:rFonts w:ascii="Times New Roman" w:hAnsi="Times New Roman"/>
          <w:sz w:val="28"/>
        </w:rPr>
        <w:t>от 14.02.2025 № 8-Н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«</w:t>
      </w:r>
      <w:r>
        <w:rPr>
          <w:rFonts w:ascii="Times New Roman" w:hAnsi="Times New Roman"/>
          <w:sz w:val="28"/>
        </w:rPr>
        <w:t xml:space="preserve">Об установлении публичного сервитута в целях эксплуатации </w:t>
      </w:r>
      <w:r>
        <w:rPr>
          <w:rFonts w:ascii="Times New Roman" w:hAnsi="Times New Roman"/>
          <w:b w:val="0"/>
          <w:sz w:val="28"/>
        </w:rPr>
        <w:t xml:space="preserve">объекта электросетевого хозяйства </w:t>
      </w:r>
      <w:r>
        <w:rPr>
          <w:rFonts w:ascii="Times New Roman" w:hAnsi="Times New Roman"/>
          <w:b w:val="0"/>
          <w:sz w:val="28"/>
        </w:rPr>
        <w:t>«</w:t>
      </w:r>
      <w:r>
        <w:rPr>
          <w:rFonts w:ascii="Times New Roman" w:hAnsi="Times New Roman"/>
          <w:b w:val="0"/>
          <w:sz w:val="28"/>
        </w:rPr>
        <w:t xml:space="preserve">Сооружение ВЛЭП 35 кВ на деревянных опорах протяженностью 25 км» </w:t>
      </w:r>
      <w:r>
        <w:rPr>
          <w:rFonts w:ascii="Times New Roman" w:hAnsi="Times New Roman"/>
          <w:b w:val="0"/>
          <w:sz w:val="28"/>
        </w:rPr>
        <w:t>c</w:t>
      </w:r>
      <w:r>
        <w:rPr>
          <w:rFonts w:ascii="Times New Roman" w:hAnsi="Times New Roman"/>
          <w:b w:val="0"/>
          <w:sz w:val="28"/>
        </w:rPr>
        <w:t xml:space="preserve"> кадастровым номером 41:05:0000000:933»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следующие изменения</w:t>
      </w:r>
      <w:r>
        <w:rPr>
          <w:rFonts w:ascii="Times New Roman" w:hAnsi="Times New Roman"/>
          <w:sz w:val="28"/>
        </w:rPr>
        <w:t>:</w:t>
      </w:r>
    </w:p>
    <w:p w14:paraId="1C000000">
      <w:pPr>
        <w:numPr>
          <w:numId w:val="2"/>
        </w:num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часть 1 дополнить пунктами следующего содержания:</w:t>
      </w:r>
    </w:p>
    <w:p w14:paraId="1D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«56) </w:t>
      </w:r>
      <w:r>
        <w:rPr>
          <w:rFonts w:ascii="Times New Roman" w:hAnsi="Times New Roman"/>
          <w:sz w:val="28"/>
        </w:rPr>
        <w:t>с кадастровым номером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41:05:0101091:490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адрес (местоположение)</w:t>
      </w:r>
      <w:r>
        <w:rPr>
          <w:rFonts w:ascii="Times New Roman" w:hAnsi="Times New Roman"/>
          <w:sz w:val="28"/>
        </w:rPr>
        <w:t>: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Российская Федерация, Камчатский край, Елизовский муниципальный район, Николаевское сельское </w:t>
      </w:r>
      <w:r>
        <w:rPr>
          <w:rFonts w:ascii="Times New Roman" w:hAnsi="Times New Roman"/>
          <w:sz w:val="28"/>
        </w:rPr>
        <w:t>поселение, село Сосновка</w:t>
      </w:r>
      <w:r>
        <w:rPr>
          <w:rFonts w:ascii="Times New Roman" w:hAnsi="Times New Roman"/>
          <w:sz w:val="28"/>
        </w:rPr>
        <w:t>;</w:t>
      </w:r>
    </w:p>
    <w:p w14:paraId="1E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57) </w:t>
      </w:r>
      <w:r>
        <w:rPr>
          <w:rFonts w:ascii="Times New Roman" w:hAnsi="Times New Roman"/>
          <w:sz w:val="28"/>
        </w:rPr>
        <w:t>с кадастровым номером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41:05:0101096:151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адрес (местоположение)</w:t>
      </w:r>
      <w:r>
        <w:rPr>
          <w:rFonts w:ascii="Times New Roman" w:hAnsi="Times New Roman"/>
          <w:sz w:val="28"/>
        </w:rPr>
        <w:t>: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м</w:t>
      </w:r>
      <w:r>
        <w:rPr>
          <w:rFonts w:ascii="Times New Roman" w:hAnsi="Times New Roman"/>
          <w:sz w:val="28"/>
        </w:rPr>
        <w:t>естоположение установлено относительно ориентира, расположенного за пределами участка. Ориентир ж</w:t>
      </w:r>
      <w:r>
        <w:rPr>
          <w:rFonts w:ascii="Times New Roman" w:hAnsi="Times New Roman"/>
          <w:sz w:val="28"/>
        </w:rPr>
        <w:t xml:space="preserve">илой дом. Участок находится примерно в 100 м, по направлению на юго-запад от ориентира. Почтовый </w:t>
      </w:r>
      <w:r>
        <w:rPr>
          <w:rFonts w:ascii="Times New Roman" w:hAnsi="Times New Roman"/>
          <w:sz w:val="28"/>
        </w:rPr>
        <w:t>адрес ориентира: Камчатский край, р-н. Елизовский, с. Паратунка, ул. Нагорная, д. 32</w:t>
      </w:r>
      <w:r>
        <w:rPr>
          <w:rFonts w:ascii="Times New Roman" w:hAnsi="Times New Roman"/>
          <w:sz w:val="28"/>
        </w:rPr>
        <w:t>;</w:t>
      </w:r>
    </w:p>
    <w:p w14:paraId="1F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58) </w:t>
      </w:r>
      <w:r>
        <w:rPr>
          <w:rFonts w:ascii="Times New Roman" w:hAnsi="Times New Roman"/>
          <w:sz w:val="28"/>
        </w:rPr>
        <w:t>с кадастровым номером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41:05:0101101:114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адрес (местоположение)</w:t>
      </w:r>
      <w:r>
        <w:rPr>
          <w:rFonts w:ascii="Times New Roman" w:hAnsi="Times New Roman"/>
          <w:sz w:val="28"/>
        </w:rPr>
        <w:t>: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Российская Федерация, Камчатский край, Елизовский м.р-н, Паратунское с.п., п. Термальный, ул. Зеленая, </w:t>
      </w:r>
      <w:r>
        <w:rPr>
          <w:rFonts w:ascii="Times New Roman" w:hAnsi="Times New Roman"/>
          <w:sz w:val="28"/>
        </w:rPr>
        <w:t>з/у 35</w:t>
      </w:r>
      <w:r>
        <w:rPr>
          <w:rFonts w:ascii="Times New Roman" w:hAnsi="Times New Roman"/>
          <w:sz w:val="28"/>
        </w:rPr>
        <w:t>;</w:t>
      </w:r>
    </w:p>
    <w:p w14:paraId="20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59) с кадастровым номером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41:05:0101101:195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адрес (местоположение)</w:t>
      </w:r>
      <w:r>
        <w:rPr>
          <w:rFonts w:ascii="Times New Roman" w:hAnsi="Times New Roman"/>
          <w:sz w:val="28"/>
        </w:rPr>
        <w:t>: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Камчатский край, р-н Елизовский, снт Березка, совхоза "Термальный", район п.Термальный</w:t>
      </w:r>
      <w:r>
        <w:rPr>
          <w:rFonts w:ascii="Times New Roman" w:hAnsi="Times New Roman"/>
          <w:sz w:val="28"/>
        </w:rPr>
        <w:t>;</w:t>
      </w:r>
    </w:p>
    <w:p w14:paraId="21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60) </w:t>
      </w:r>
      <w:r>
        <w:rPr>
          <w:rFonts w:ascii="Times New Roman" w:hAnsi="Times New Roman"/>
          <w:sz w:val="28"/>
        </w:rPr>
        <w:t>с кадастровым номером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41:00:0000000:148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адрес (местоположение)</w:t>
      </w:r>
      <w:r>
        <w:rPr>
          <w:rFonts w:ascii="Times New Roman" w:hAnsi="Times New Roman"/>
          <w:sz w:val="28"/>
        </w:rPr>
        <w:t>: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контур 1: в пределах земель лесного фонда Елизовского лесничества Камчатского края, квартал 29 части </w:t>
      </w:r>
      <w:r>
        <w:rPr>
          <w:rFonts w:ascii="Times New Roman" w:hAnsi="Times New Roman"/>
          <w:sz w:val="28"/>
        </w:rPr>
        <w:t xml:space="preserve">выделов 8,10,11, квартал 31 часть выдела 3 Паратунского участкового лесничества; контур 2: в пределах </w:t>
      </w:r>
      <w:r>
        <w:rPr>
          <w:rFonts w:ascii="Times New Roman" w:hAnsi="Times New Roman"/>
          <w:sz w:val="28"/>
        </w:rPr>
        <w:t xml:space="preserve">земель лесного фонда Елизовского лесничества Камчатского края, квартал 31 часть выдела 3 Паратунского </w:t>
      </w:r>
      <w:r>
        <w:rPr>
          <w:rFonts w:ascii="Times New Roman" w:hAnsi="Times New Roman"/>
          <w:sz w:val="28"/>
        </w:rPr>
        <w:t xml:space="preserve">участкового лесничества; контур 3: в пределах земель лесного фонда Елизовского лесничества </w:t>
      </w:r>
      <w:r>
        <w:rPr>
          <w:rFonts w:ascii="Times New Roman" w:hAnsi="Times New Roman"/>
          <w:sz w:val="28"/>
        </w:rPr>
        <w:t xml:space="preserve">Камчатского края, квартал 31 часть выдела 2 Паратунского участкового лесничества; контур 4: в пределах </w:t>
      </w:r>
      <w:r>
        <w:rPr>
          <w:rFonts w:ascii="Times New Roman" w:hAnsi="Times New Roman"/>
          <w:sz w:val="28"/>
        </w:rPr>
        <w:t xml:space="preserve">земель лесного фонда Елизовского лесничества Камчатского края, квартал 31 часть выдела 2 Паратунского </w:t>
      </w:r>
      <w:r>
        <w:rPr>
          <w:rFonts w:ascii="Times New Roman" w:hAnsi="Times New Roman"/>
          <w:sz w:val="28"/>
        </w:rPr>
        <w:t xml:space="preserve">участкового лесничества; контур 5: в пределах земель лесного фонда Елизовского лесничества </w:t>
      </w:r>
      <w:r>
        <w:rPr>
          <w:rFonts w:ascii="Times New Roman" w:hAnsi="Times New Roman"/>
          <w:sz w:val="28"/>
        </w:rPr>
        <w:t xml:space="preserve">Камчатского края, квартал 31 часть выдела 2 Паратунского участкового лесничества; контур 6: в пределах </w:t>
      </w:r>
      <w:r>
        <w:rPr>
          <w:rFonts w:ascii="Times New Roman" w:hAnsi="Times New Roman"/>
          <w:sz w:val="28"/>
        </w:rPr>
        <w:t xml:space="preserve">земель лесного фонда Елизовского лесничества Камчатского края, квартал 31 часть выдела 2 Паратунского </w:t>
      </w:r>
      <w:r>
        <w:rPr>
          <w:rFonts w:ascii="Times New Roman" w:hAnsi="Times New Roman"/>
          <w:sz w:val="28"/>
        </w:rPr>
        <w:t xml:space="preserve">участкового лесничества; контур 7: в пределах земель лесного фонда Елизовского лесничества </w:t>
      </w:r>
      <w:r>
        <w:rPr>
          <w:rFonts w:ascii="Times New Roman" w:hAnsi="Times New Roman"/>
          <w:sz w:val="28"/>
        </w:rPr>
        <w:t xml:space="preserve">Камчатского края, квартал 31 часть выдела 2 Паратунского участкового лесничества; контур 8: в пределах </w:t>
      </w:r>
      <w:r>
        <w:rPr>
          <w:rFonts w:ascii="Times New Roman" w:hAnsi="Times New Roman"/>
          <w:sz w:val="28"/>
        </w:rPr>
        <w:t xml:space="preserve">земель лесного фонда Елизовского лесничества Камчатского края, квартал 31 часть выдела 2 Паратунского </w:t>
      </w:r>
      <w:r>
        <w:rPr>
          <w:rFonts w:ascii="Times New Roman" w:hAnsi="Times New Roman"/>
          <w:sz w:val="28"/>
        </w:rPr>
        <w:t xml:space="preserve">участкового лесничества; контур 9: в пределах земель лесного фонда Елизовского лесничества </w:t>
      </w:r>
      <w:r>
        <w:rPr>
          <w:rFonts w:ascii="Times New Roman" w:hAnsi="Times New Roman"/>
          <w:sz w:val="28"/>
        </w:rPr>
        <w:t xml:space="preserve">Камчатского края, квартал 31 часть выдела 2 Паратунского участкового лесничества; контур 10: в пределах </w:t>
      </w:r>
      <w:r>
        <w:rPr>
          <w:rFonts w:ascii="Times New Roman" w:hAnsi="Times New Roman"/>
          <w:sz w:val="28"/>
        </w:rPr>
        <w:t xml:space="preserve">земель лесного фонда Елизовского лесничества Камчатского края, квартал 31 части выделов 2,11,16 </w:t>
      </w:r>
      <w:r>
        <w:rPr>
          <w:rFonts w:ascii="Times New Roman" w:hAnsi="Times New Roman"/>
          <w:sz w:val="28"/>
        </w:rPr>
        <w:t xml:space="preserve">Паратунского участкового лесничества; контур 11: в пределах земель лесного фонда Елизовского </w:t>
      </w:r>
      <w:r>
        <w:rPr>
          <w:rFonts w:ascii="Times New Roman" w:hAnsi="Times New Roman"/>
          <w:sz w:val="28"/>
        </w:rPr>
        <w:t xml:space="preserve">лесничества Камчатского края, квартал 31 части выделов 2,11 Паратунского участкового лесничества; </w:t>
      </w:r>
      <w:r>
        <w:rPr>
          <w:rFonts w:ascii="Times New Roman" w:hAnsi="Times New Roman"/>
          <w:sz w:val="28"/>
        </w:rPr>
        <w:t xml:space="preserve">контур 12: в пределах земель лесного фонда Елизовского лесничества Камчатского края, квартал 31 часть </w:t>
      </w:r>
      <w:r>
        <w:rPr>
          <w:rFonts w:ascii="Times New Roman" w:hAnsi="Times New Roman"/>
          <w:sz w:val="28"/>
        </w:rPr>
        <w:t xml:space="preserve">выдела 16 Паратунского участкового лесничества; контур 13: в пределах земель лесного фонда </w:t>
      </w:r>
      <w:r>
        <w:rPr>
          <w:rFonts w:ascii="Times New Roman" w:hAnsi="Times New Roman"/>
          <w:sz w:val="28"/>
        </w:rPr>
        <w:t xml:space="preserve">Елизовского лесничества Камчатского края, квартал 31 часть выдела 2 Паратунского участкового </w:t>
      </w:r>
      <w:r>
        <w:rPr>
          <w:rFonts w:ascii="Times New Roman" w:hAnsi="Times New Roman"/>
          <w:sz w:val="28"/>
        </w:rPr>
        <w:t>лесничества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»;</w:t>
      </w:r>
    </w:p>
    <w:p w14:paraId="22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2) </w:t>
      </w:r>
      <w:r>
        <w:rPr>
          <w:rFonts w:ascii="Times New Roman" w:hAnsi="Times New Roman"/>
          <w:sz w:val="28"/>
        </w:rPr>
        <w:t xml:space="preserve">приложение изложить в редакции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z w:val="28"/>
        </w:rPr>
        <w:t>огласно приложению к настоящему приказу.</w:t>
      </w:r>
    </w:p>
    <w:p w14:paraId="23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Настоящий приказ вступает в силу после дня его официального опубликования.</w:t>
      </w:r>
    </w:p>
    <w:p w14:paraId="24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25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26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tbl>
      <w:tblPr>
        <w:tblStyle w:val="Style_2"/>
        <w:tblLayout w:type="fixed"/>
        <w:tblCellMar>
          <w:left w:type="dxa" w:w="0"/>
          <w:right w:type="dxa" w:w="0"/>
        </w:tblCellMar>
      </w:tblPr>
      <w:tblGrid>
        <w:gridCol w:w="2976"/>
        <w:gridCol w:w="4393"/>
        <w:gridCol w:w="2268"/>
      </w:tblGrid>
      <w:tr>
        <w:trPr>
          <w:trHeight w:hRule="atLeast" w:val="2220"/>
        </w:trPr>
        <w:tc>
          <w:tcPr>
            <w:tcW w:type="dxa" w:w="2976"/>
            <w:shd w:fill="auto" w:val="clear"/>
            <w:tcMar>
              <w:left w:type="dxa" w:w="0"/>
              <w:right w:type="dxa" w:w="0"/>
            </w:tcMar>
          </w:tcPr>
          <w:p w14:paraId="27000000">
            <w:pPr>
              <w:spacing w:after="0" w:line="240" w:lineRule="auto"/>
              <w:ind w:right="27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8"/>
              </w:rPr>
              <w:t>Министр</w:t>
            </w:r>
          </w:p>
          <w:p w14:paraId="28000000">
            <w:pPr>
              <w:spacing w:after="0" w:line="240" w:lineRule="auto"/>
              <w:ind w:firstLine="0" w:left="30" w:right="27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4393"/>
            <w:shd w:fill="auto" w:val="clear"/>
            <w:tcMar>
              <w:left w:type="dxa" w:w="0"/>
              <w:right w:type="dxa" w:w="0"/>
            </w:tcMar>
          </w:tcPr>
          <w:p w14:paraId="29000000">
            <w:pPr>
              <w:spacing w:after="0" w:line="240" w:lineRule="auto"/>
              <w:ind/>
              <w:rPr>
                <w:rFonts w:ascii="Times New Roman" w:hAnsi="Times New Roman"/>
                <w:color w:themeColor="text1" w:val="000000"/>
                <w:sz w:val="24"/>
              </w:rPr>
            </w:pPr>
            <w:bookmarkStart w:id="3" w:name="SIGNERSTAMP1"/>
            <w:r>
              <w:rPr>
                <w:rFonts w:ascii="Times New Roman" w:hAnsi="Times New Roman"/>
                <w:color w:themeColor="background1" w:val="FFFFFF"/>
                <w:sz w:val="24"/>
              </w:rPr>
              <w:t>[горизонтальный штамп подписи 1]</w:t>
            </w:r>
            <w:bookmarkEnd w:id="3"/>
          </w:p>
        </w:tc>
        <w:tc>
          <w:tcPr>
            <w:tcW w:type="dxa" w:w="2268"/>
            <w:shd w:fill="auto" w:val="clear"/>
            <w:tcMar>
              <w:left w:type="dxa" w:w="0"/>
              <w:right w:type="dxa" w:w="0"/>
            </w:tcMar>
          </w:tcPr>
          <w:p w14:paraId="2A000000">
            <w:pPr>
              <w:spacing w:after="0" w:line="240" w:lineRule="auto"/>
              <w:ind/>
              <w:jc w:val="righ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8"/>
              </w:rPr>
              <w:t>И.В. Мищенко</w:t>
            </w:r>
          </w:p>
        </w:tc>
      </w:tr>
    </w:tbl>
    <w:p w14:paraId="2B000000">
      <w:pPr>
        <w:sectPr>
          <w:headerReference r:id="rId2" w:type="default"/>
          <w:pgSz w:h="16848" w:orient="portrait" w:w="11908"/>
          <w:pgMar w:bottom="1134" w:footer="709" w:gutter="0" w:header="709" w:left="1417" w:right="850" w:top="1134"/>
          <w:titlePg/>
        </w:sectPr>
      </w:pPr>
    </w:p>
    <w:p w14:paraId="2C000000">
      <w:pPr>
        <w:widowControl w:val="0"/>
        <w:tabs>
          <w:tab w:leader="none" w:pos="8222" w:val="left"/>
        </w:tabs>
        <w:spacing w:after="0" w:line="240" w:lineRule="auto"/>
        <w:ind w:firstLine="5103" w:left="0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Приложение к приказу Министерства</w:t>
      </w:r>
    </w:p>
    <w:p w14:paraId="2D000000">
      <w:pPr>
        <w:widowControl w:val="0"/>
        <w:spacing w:after="0" w:line="240" w:lineRule="auto"/>
        <w:ind w:firstLine="0" w:left="5103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имущественных и земельных отношений Камчатского </w:t>
      </w:r>
      <w:r>
        <w:rPr>
          <w:rFonts w:ascii="Times New Roman" w:hAnsi="Times New Roman"/>
          <w:sz w:val="28"/>
        </w:rPr>
        <w:t>края</w:t>
      </w:r>
    </w:p>
    <w:tbl>
      <w:tblPr>
        <w:tblStyle w:val="Style_3"/>
        <w:tblInd w:type="dxa" w:w="5061"/>
        <w:tblBorders>
          <w:top w:color="000000" w:sz="4" w:val="nil"/>
          <w:left w:color="000000" w:sz="4" w:val="nil"/>
          <w:bottom w:color="000000" w:sz="4" w:val="nil"/>
          <w:right w:color="000000" w:sz="4" w:val="nil"/>
          <w:insideH w:color="000000" w:sz="4" w:val="nil"/>
          <w:insideV w:color="000000" w:sz="4" w:val="nil"/>
        </w:tblBorders>
        <w:tblLayout w:type="fixed"/>
      </w:tblPr>
      <w:tblGrid>
        <w:gridCol w:w="414"/>
        <w:gridCol w:w="1869"/>
        <w:gridCol w:w="486"/>
        <w:gridCol w:w="1701"/>
      </w:tblGrid>
      <w:tr>
        <w:tc>
          <w:tcPr>
            <w:tcW w:type="dxa" w:w="414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2E000000">
            <w:pPr>
              <w:spacing w:after="60"/>
              <w:ind w:firstLine="0" w:left="-65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от</w:t>
            </w:r>
          </w:p>
        </w:tc>
        <w:tc>
          <w:tcPr>
            <w:tcW w:type="dxa" w:w="1869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2F000000">
            <w:pPr>
              <w:spacing w:after="60"/>
              <w:ind/>
              <w:jc w:val="right"/>
              <w:rPr>
                <w:rFonts w:ascii="Times New Roman" w:hAnsi="Times New Roman"/>
                <w:color w:themeColor="background1" w:val="FFFFFF"/>
                <w:sz w:val="28"/>
              </w:rPr>
            </w:pPr>
            <w:r>
              <w:rPr>
                <w:rFonts w:ascii="Times New Roman" w:hAnsi="Times New Roman"/>
                <w:color w:themeColor="background1" w:val="FFFFFF"/>
                <w:sz w:val="28"/>
              </w:rPr>
              <w:t>[</w:t>
            </w:r>
            <w:r>
              <w:rPr>
                <w:rFonts w:ascii="Times New Roman" w:hAnsi="Times New Roman"/>
                <w:color w:themeColor="background1" w:val="FFFFFF"/>
                <w:sz w:val="28"/>
              </w:rPr>
              <w:t>R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EGDATESTAMP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]</w:t>
            </w:r>
          </w:p>
        </w:tc>
        <w:tc>
          <w:tcPr>
            <w:tcW w:type="dxa" w:w="486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30000000">
            <w:pPr>
              <w:spacing w:after="60"/>
              <w:ind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№</w:t>
            </w:r>
          </w:p>
        </w:tc>
        <w:tc>
          <w:tcPr>
            <w:tcW w:type="dxa" w:w="1701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31000000">
            <w:pPr>
              <w:spacing w:after="60"/>
              <w:ind/>
              <w:jc w:val="right"/>
              <w:rPr>
                <w:rFonts w:ascii="Times New Roman" w:hAnsi="Times New Roman"/>
                <w:color w:themeColor="background1" w:val="FFFFFF"/>
                <w:sz w:val="28"/>
              </w:rPr>
            </w:pPr>
            <w:r>
              <w:rPr>
                <w:rFonts w:ascii="Times New Roman" w:hAnsi="Times New Roman"/>
                <w:color w:themeColor="background1" w:val="FFFFFF"/>
                <w:sz w:val="28"/>
              </w:rPr>
              <w:t>[R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EGNUMSTAMP]</w:t>
            </w:r>
          </w:p>
        </w:tc>
      </w:tr>
    </w:tbl>
    <w:p w14:paraId="32000000">
      <w:pPr>
        <w:ind w:firstLine="0" w:left="-992"/>
      </w:pPr>
    </w:p>
    <w:p w14:paraId="33000000">
      <w:pPr>
        <w:widowControl w:val="0"/>
        <w:tabs>
          <w:tab w:leader="none" w:pos="8222" w:val="left"/>
        </w:tabs>
        <w:spacing w:after="0" w:line="240" w:lineRule="auto"/>
        <w:ind w:firstLine="4961" w:left="0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«Приложение к приказу Министерства</w:t>
      </w:r>
    </w:p>
    <w:p w14:paraId="34000000">
      <w:pPr>
        <w:widowControl w:val="0"/>
        <w:spacing w:after="0" w:line="240" w:lineRule="auto"/>
        <w:ind w:firstLine="0" w:left="5103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имущественных и земельных отношений Камчатского </w:t>
      </w:r>
      <w:r>
        <w:rPr>
          <w:rFonts w:ascii="Times New Roman" w:hAnsi="Times New Roman"/>
          <w:sz w:val="28"/>
        </w:rPr>
        <w:t>края</w:t>
      </w:r>
    </w:p>
    <w:tbl>
      <w:tblPr>
        <w:tblInd w:type="dxa" w:w="5061"/>
        <w:tblBorders>
          <w:top w:color="000000" w:sz="4" w:val="nil"/>
          <w:left w:color="000000" w:sz="4" w:val="nil"/>
          <w:bottom w:color="000000" w:sz="4" w:val="nil"/>
          <w:right w:color="000000" w:sz="4" w:val="nil"/>
          <w:insideH w:color="000000" w:sz="4" w:val="nil"/>
          <w:insideV w:color="000000" w:sz="4" w:val="nil"/>
        </w:tblBorders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414"/>
        <w:gridCol w:w="1869"/>
        <w:gridCol w:w="486"/>
        <w:gridCol w:w="1701"/>
      </w:tblGrid>
      <w:tr>
        <w:tc>
          <w:tcPr>
            <w:tcW w:type="dxa" w:w="414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5000000">
            <w:pPr>
              <w:spacing w:after="60"/>
              <w:ind w:firstLine="0" w:left="-65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от</w:t>
            </w:r>
          </w:p>
        </w:tc>
        <w:tc>
          <w:tcPr>
            <w:tcW w:type="dxa" w:w="1869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6000000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14.02.2025</w:t>
            </w:r>
          </w:p>
        </w:tc>
        <w:tc>
          <w:tcPr>
            <w:tcW w:type="dxa" w:w="486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7000000">
            <w:pPr>
              <w:spacing w:after="60"/>
              <w:ind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№</w:t>
            </w:r>
          </w:p>
        </w:tc>
        <w:tc>
          <w:tcPr>
            <w:tcW w:type="dxa" w:w="1701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8000000">
            <w:pPr>
              <w:spacing w:after="60"/>
              <w:ind/>
              <w:jc w:val="left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themeColor="background1" w:val="FFFFFF"/>
                <w:sz w:val="28"/>
              </w:rPr>
              <w:t>[</w:t>
            </w:r>
            <w:r>
              <w:rPr>
                <w:rFonts w:ascii="Times New Roman" w:hAnsi="Times New Roman"/>
                <w:color w:val="000000"/>
                <w:sz w:val="28"/>
              </w:rPr>
              <w:t>8-Н</w:t>
            </w:r>
          </w:p>
        </w:tc>
      </w:tr>
    </w:tbl>
    <w:p w14:paraId="39000000">
      <w:pPr>
        <w:ind w:firstLine="0" w:left="-992"/>
      </w:pPr>
    </w:p>
    <w:p w14:paraId="3A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ОПИСАНИЕ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МЕСТОПОЛОЖЕНИЯ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ГРАНИЦ</w:t>
      </w:r>
    </w:p>
    <w:p w14:paraId="3B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ПУБЛИЧНОГО СЕРВИТУТА</w:t>
      </w:r>
    </w:p>
    <w:p w14:paraId="3C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sz w:val="28"/>
          <w:u w:val="none"/>
        </w:rPr>
      </w:pPr>
      <w:r>
        <w:rPr>
          <w:rFonts w:ascii="Times New Roman" w:hAnsi="Times New Roman"/>
          <w:sz w:val="28"/>
          <w:u w:val="none"/>
        </w:rPr>
        <w:t>в</w:t>
      </w:r>
      <w:r>
        <w:rPr>
          <w:rFonts w:ascii="Times New Roman" w:hAnsi="Times New Roman"/>
          <w:spacing w:val="-3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отношении</w:t>
      </w:r>
      <w:r>
        <w:rPr>
          <w:rFonts w:ascii="Times New Roman" w:hAnsi="Times New Roman"/>
          <w:spacing w:val="-2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земель</w:t>
      </w:r>
      <w:r>
        <w:rPr>
          <w:rFonts w:ascii="Times New Roman" w:hAnsi="Times New Roman"/>
          <w:spacing w:val="-2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и</w:t>
      </w:r>
      <w:r>
        <w:rPr>
          <w:rFonts w:ascii="Times New Roman" w:hAnsi="Times New Roman"/>
          <w:spacing w:val="-1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земельных</w:t>
      </w:r>
      <w:r>
        <w:rPr>
          <w:rFonts w:ascii="Times New Roman" w:hAnsi="Times New Roman"/>
          <w:spacing w:val="-1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участков</w:t>
      </w:r>
      <w:r>
        <w:rPr>
          <w:rFonts w:ascii="Times New Roman" w:hAnsi="Times New Roman"/>
          <w:spacing w:val="-3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для</w:t>
      </w:r>
      <w:r>
        <w:rPr>
          <w:rFonts w:ascii="Times New Roman" w:hAnsi="Times New Roman"/>
          <w:spacing w:val="-4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 xml:space="preserve">их </w:t>
      </w:r>
      <w:r>
        <w:rPr>
          <w:rFonts w:ascii="Times New Roman" w:hAnsi="Times New Roman"/>
          <w:sz w:val="28"/>
          <w:u w:val="none"/>
        </w:rPr>
        <w:t>использования</w:t>
      </w:r>
      <w:r>
        <w:rPr>
          <w:rFonts w:ascii="Times New Roman" w:hAnsi="Times New Roman"/>
          <w:spacing w:val="-5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в</w:t>
      </w:r>
      <w:r>
        <w:rPr>
          <w:rFonts w:ascii="Times New Roman" w:hAnsi="Times New Roman"/>
          <w:spacing w:val="-6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целях</w:t>
      </w:r>
      <w:r>
        <w:rPr>
          <w:rFonts w:ascii="Times New Roman" w:hAnsi="Times New Roman"/>
          <w:spacing w:val="-3"/>
          <w:sz w:val="28"/>
          <w:u w:val="none"/>
        </w:rPr>
        <w:t xml:space="preserve"> </w:t>
      </w:r>
      <w:r>
        <w:rPr>
          <w:rFonts w:ascii="Times New Roman" w:hAnsi="Times New Roman"/>
          <w:spacing w:val="-4"/>
          <w:sz w:val="28"/>
          <w:u w:val="none"/>
        </w:rPr>
        <w:t xml:space="preserve">эксплуатации </w:t>
      </w:r>
      <w:r>
        <w:rPr>
          <w:rFonts w:ascii="Times New Roman" w:hAnsi="Times New Roman"/>
          <w:sz w:val="28"/>
          <w:u w:val="none"/>
        </w:rPr>
        <w:t>объекта электросетевого хозяйства:</w:t>
      </w:r>
    </w:p>
    <w:p w14:paraId="3D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sz w:val="28"/>
          <w:u w:val="none"/>
        </w:rPr>
      </w:pPr>
      <w:r>
        <w:rPr>
          <w:rFonts w:ascii="Times New Roman" w:hAnsi="Times New Roman"/>
          <w:spacing w:val="-3"/>
          <w:sz w:val="28"/>
          <w:u w:val="none"/>
        </w:rPr>
        <w:t>«</w:t>
      </w:r>
      <w:r>
        <w:rPr>
          <w:rFonts w:ascii="Times New Roman" w:hAnsi="Times New Roman"/>
          <w:sz w:val="28"/>
          <w:u w:val="none"/>
        </w:rPr>
        <w:t>Сооружение</w:t>
      </w:r>
      <w:r>
        <w:rPr>
          <w:rFonts w:ascii="Times New Roman" w:hAnsi="Times New Roman"/>
          <w:spacing w:val="-67"/>
          <w:sz w:val="28"/>
          <w:u w:val="none"/>
        </w:rPr>
        <w:t xml:space="preserve">     </w:t>
      </w:r>
      <w:r>
        <w:rPr>
          <w:rFonts w:ascii="Times New Roman" w:hAnsi="Times New Roman"/>
          <w:sz w:val="28"/>
          <w:u w:val="none"/>
        </w:rPr>
        <w:t xml:space="preserve"> ВЛЭП</w:t>
      </w:r>
      <w:r>
        <w:rPr>
          <w:rFonts w:ascii="Times New Roman" w:hAnsi="Times New Roman"/>
          <w:spacing w:val="-4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 xml:space="preserve">35 </w:t>
      </w:r>
      <w:r>
        <w:rPr>
          <w:rFonts w:ascii="Times New Roman" w:hAnsi="Times New Roman"/>
          <w:spacing w:val="-2"/>
          <w:sz w:val="28"/>
          <w:u w:val="none"/>
        </w:rPr>
        <w:t xml:space="preserve">КВ </w:t>
      </w:r>
      <w:r>
        <w:rPr>
          <w:rFonts w:ascii="Times New Roman" w:hAnsi="Times New Roman"/>
          <w:sz w:val="28"/>
          <w:u w:val="none"/>
        </w:rPr>
        <w:t>на</w:t>
      </w:r>
      <w:r>
        <w:rPr>
          <w:rFonts w:ascii="Times New Roman" w:hAnsi="Times New Roman"/>
          <w:spacing w:val="-1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деревянных опорах протяженностью 25 км»</w:t>
      </w:r>
    </w:p>
    <w:p w14:paraId="3E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sz w:val="28"/>
          <w:u w:val="none"/>
        </w:rPr>
      </w:pPr>
      <w:r>
        <w:rPr>
          <w:rFonts w:ascii="Times New Roman" w:hAnsi="Times New Roman"/>
          <w:sz w:val="28"/>
          <w:u w:val="none"/>
        </w:rPr>
        <w:t>с кадастровы</w:t>
      </w:r>
      <w:r>
        <w:rPr>
          <w:rFonts w:ascii="Times New Roman" w:hAnsi="Times New Roman"/>
          <w:spacing w:val="-6"/>
          <w:sz w:val="28"/>
          <w:u w:val="none"/>
        </w:rPr>
        <w:t xml:space="preserve">м </w:t>
      </w:r>
      <w:r>
        <w:rPr>
          <w:rFonts w:ascii="Times New Roman" w:hAnsi="Times New Roman"/>
          <w:sz w:val="28"/>
          <w:u w:val="none"/>
        </w:rPr>
        <w:t>номером</w:t>
      </w:r>
      <w:r>
        <w:rPr>
          <w:rFonts w:ascii="Times New Roman" w:hAnsi="Times New Roman"/>
          <w:spacing w:val="-9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41:05:0000000:933</w:t>
      </w:r>
    </w:p>
    <w:p w14:paraId="3F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(наименование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объекта,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местоположение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границ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которого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описано </w:t>
      </w:r>
      <w:r>
        <w:rPr>
          <w:rFonts w:ascii="Times New Roman" w:hAnsi="Times New Roman"/>
          <w:sz w:val="24"/>
        </w:rPr>
        <w:t>(далее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pacing w:val="2"/>
          <w:sz w:val="24"/>
        </w:rPr>
        <w:t>–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объект))</w:t>
      </w:r>
    </w:p>
    <w:p w14:paraId="40000000">
      <w:pPr>
        <w:spacing w:before="2"/>
        <w:ind w:firstLine="0" w:left="0" w:right="3"/>
        <w:jc w:val="left"/>
        <w:rPr>
          <w:sz w:val="24"/>
        </w:rPr>
      </w:pPr>
    </w:p>
    <w:p w14:paraId="41000000">
      <w:pPr>
        <w:spacing w:before="2"/>
        <w:ind w:firstLine="0" w:left="0" w:right="3"/>
        <w:jc w:val="left"/>
        <w:rPr>
          <w:sz w:val="24"/>
        </w:rPr>
      </w:pPr>
      <w:r>
        <w:drawing>
          <wp:inline>
            <wp:extent cx="6122035" cy="5048324"/>
            <wp:effectExtent b="0" l="0" r="0" t="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6122035" cy="504832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2000000">
      <w:pPr>
        <w:ind w:firstLine="0" w:left="-992"/>
      </w:pPr>
    </w:p>
    <w:p w14:paraId="43000000">
      <w:pPr>
        <w:ind w:firstLine="0" w:left="-992"/>
      </w:pPr>
      <w:r>
        <w:drawing>
          <wp:inline>
            <wp:extent cx="7038974" cy="9925048"/>
            <wp:effectExtent b="0" l="0" r="0" t="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7038974" cy="992504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4000000">
      <w:pPr>
        <w:ind w:firstLine="0" w:left="-992"/>
      </w:pPr>
      <w:r>
        <w:drawing>
          <wp:inline>
            <wp:extent cx="7019924" cy="9915523"/>
            <wp:effectExtent b="0" l="0" r="0" t="0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7019924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5000000">
      <w:pPr>
        <w:ind w:firstLine="0" w:left="-992"/>
      </w:pPr>
      <w:r>
        <w:drawing>
          <wp:inline>
            <wp:extent cx="7067549" cy="9810748"/>
            <wp:effectExtent b="0" l="0" r="0" t="0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7067549" cy="981074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6000000">
      <w:pPr>
        <w:ind w:firstLine="0" w:left="-992"/>
      </w:pPr>
      <w:r>
        <w:drawing>
          <wp:inline>
            <wp:extent cx="7010399" cy="9915523"/>
            <wp:effectExtent b="0" l="0" r="0" t="0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7010399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7000000">
      <w:pPr>
        <w:ind w:firstLine="0" w:left="-992"/>
      </w:pPr>
      <w:r>
        <w:drawing>
          <wp:inline>
            <wp:extent cx="7019924" cy="9915523"/>
            <wp:effectExtent b="0" l="0" r="0" t="0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7019924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8000000">
      <w:pPr>
        <w:ind w:firstLine="0" w:left="-992"/>
      </w:pPr>
      <w:r>
        <w:drawing>
          <wp:inline>
            <wp:extent cx="7019924" cy="9915523"/>
            <wp:effectExtent b="0" l="0" r="0" t="0"/>
            <wp:docPr hidden="false" id="16" name="Picture 16"/>
            <a:graphic>
              <a:graphicData uri="http://schemas.openxmlformats.org/drawingml/2006/picture">
                <pic:pic>
                  <pic:nvPicPr>
                    <pic:cNvPr hidden="false" id="15" name="Picture 15"/>
                    <pic:cNvPicPr preferRelativeResize="true"/>
                  </pic:nvPicPr>
                  <pic:blipFill>
                    <a:blip r:embed="rId10"/>
                    <a:stretch/>
                  </pic:blipFill>
                  <pic:spPr>
                    <a:xfrm flipH="false" flipV="false" rot="0">
                      <a:ext cx="7019924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9000000">
      <w:pPr>
        <w:ind w:firstLine="0" w:left="-992"/>
      </w:pPr>
      <w:r>
        <w:drawing>
          <wp:inline>
            <wp:extent cx="7029449" cy="9925048"/>
            <wp:effectExtent b="0" l="0" r="0" t="0"/>
            <wp:docPr hidden="false" id="18" name="Picture 18"/>
            <a:graphic>
              <a:graphicData uri="http://schemas.openxmlformats.org/drawingml/2006/picture">
                <pic:pic>
                  <pic:nvPicPr>
                    <pic:cNvPr hidden="false" id="17" name="Picture 17"/>
                    <pic:cNvPicPr preferRelativeResize="true"/>
                  </pic:nvPicPr>
                  <pic:blipFill>
                    <a:blip r:embed="rId11"/>
                    <a:stretch/>
                  </pic:blipFill>
                  <pic:spPr>
                    <a:xfrm flipH="false" flipV="false" rot="0">
                      <a:ext cx="7029449" cy="992504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A000000">
      <w:pPr>
        <w:ind w:firstLine="0" w:left="-992"/>
      </w:pPr>
      <w:r>
        <w:drawing>
          <wp:inline>
            <wp:extent cx="7019924" cy="9925048"/>
            <wp:effectExtent b="0" l="0" r="0" t="0"/>
            <wp:docPr hidden="false" id="20" name="Picture 20"/>
            <a:graphic>
              <a:graphicData uri="http://schemas.openxmlformats.org/drawingml/2006/picture">
                <pic:pic>
                  <pic:nvPicPr>
                    <pic:cNvPr hidden="false" id="19" name="Picture 19"/>
                    <pic:cNvPicPr preferRelativeResize="true"/>
                  </pic:nvPicPr>
                  <pic:blipFill>
                    <a:blip r:embed="rId12"/>
                    <a:stretch/>
                  </pic:blipFill>
                  <pic:spPr>
                    <a:xfrm flipH="false" flipV="false" rot="0">
                      <a:ext cx="7019924" cy="992504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B000000">
      <w:pPr>
        <w:ind w:firstLine="0" w:left="-992"/>
      </w:pPr>
      <w:r>
        <w:drawing>
          <wp:inline>
            <wp:extent cx="7019924" cy="9925048"/>
            <wp:effectExtent b="0" l="0" r="0" t="0"/>
            <wp:docPr hidden="false" id="22" name="Picture 22"/>
            <a:graphic>
              <a:graphicData uri="http://schemas.openxmlformats.org/drawingml/2006/picture">
                <pic:pic>
                  <pic:nvPicPr>
                    <pic:cNvPr hidden="false" id="21" name="Picture 21"/>
                    <pic:cNvPicPr preferRelativeResize="true"/>
                  </pic:nvPicPr>
                  <pic:blipFill>
                    <a:blip r:embed="rId13"/>
                    <a:stretch/>
                  </pic:blipFill>
                  <pic:spPr>
                    <a:xfrm flipH="false" flipV="false" rot="0">
                      <a:ext cx="7019924" cy="992504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C000000">
      <w:pPr>
        <w:ind w:firstLine="0" w:left="-992"/>
      </w:pPr>
      <w:r>
        <w:drawing>
          <wp:inline>
            <wp:extent cx="7010399" cy="9905998"/>
            <wp:effectExtent b="0" l="0" r="0" t="0"/>
            <wp:docPr hidden="false" id="24" name="Picture 24"/>
            <a:graphic>
              <a:graphicData uri="http://schemas.openxmlformats.org/drawingml/2006/picture">
                <pic:pic>
                  <pic:nvPicPr>
                    <pic:cNvPr hidden="false" id="23" name="Picture 23"/>
                    <pic:cNvPicPr preferRelativeResize="true"/>
                  </pic:nvPicPr>
                  <pic:blipFill>
                    <a:blip r:embed="rId14"/>
                    <a:stretch/>
                  </pic:blipFill>
                  <pic:spPr>
                    <a:xfrm flipH="false" flipV="false" rot="0">
                      <a:ext cx="7010399" cy="990599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D000000">
      <w:pPr>
        <w:ind w:firstLine="0" w:left="-992"/>
      </w:pPr>
      <w:r>
        <w:drawing>
          <wp:inline>
            <wp:extent cx="7000874" cy="9905998"/>
            <wp:effectExtent b="0" l="0" r="0" t="0"/>
            <wp:docPr hidden="false" id="26" name="Picture 26"/>
            <a:graphic>
              <a:graphicData uri="http://schemas.openxmlformats.org/drawingml/2006/picture">
                <pic:pic>
                  <pic:nvPicPr>
                    <pic:cNvPr hidden="false" id="25" name="Picture 25"/>
                    <pic:cNvPicPr preferRelativeResize="true"/>
                  </pic:nvPicPr>
                  <pic:blipFill>
                    <a:blip r:embed="rId15"/>
                    <a:stretch/>
                  </pic:blipFill>
                  <pic:spPr>
                    <a:xfrm flipH="false" flipV="false" rot="0">
                      <a:ext cx="7000874" cy="990599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E000000">
      <w:pPr>
        <w:ind w:firstLine="0" w:left="-992"/>
      </w:pPr>
      <w:r>
        <w:drawing>
          <wp:inline>
            <wp:extent cx="7019924" cy="9915523"/>
            <wp:effectExtent b="0" l="0" r="0" t="0"/>
            <wp:docPr hidden="false" id="28" name="Picture 28"/>
            <a:graphic>
              <a:graphicData uri="http://schemas.openxmlformats.org/drawingml/2006/picture">
                <pic:pic>
                  <pic:nvPicPr>
                    <pic:cNvPr hidden="false" id="27" name="Picture 27"/>
                    <pic:cNvPicPr preferRelativeResize="true"/>
                  </pic:nvPicPr>
                  <pic:blipFill>
                    <a:blip r:embed="rId16"/>
                    <a:stretch/>
                  </pic:blipFill>
                  <pic:spPr>
                    <a:xfrm flipH="false" flipV="false" rot="0">
                      <a:ext cx="7019924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headerReference r:id="rId1" w:type="default"/>
      <w:type w:val="nextPage"/>
      <w:pgSz w:h="16848" w:orient="portrait" w:w="11908"/>
      <w:pgMar w:bottom="850" w:footer="709" w:gutter="0" w:header="709" w:left="1417" w:right="850" w:top="1134"/>
      <w:titlePg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header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1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2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2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abstractNum w:abstractNumId="1">
    <w:lvl w:ilvl="0">
      <w:start w:val="1"/>
      <w:numFmt w:val="decimal"/>
      <w:lvlText w:val="%1)"/>
      <w:pPr>
        <w:ind w:hanging="360" w:left="720"/>
      </w:pPr>
    </w:lvl>
    <w:lvl w:ilvl="1">
      <w:start w:val="1"/>
      <w:numFmt w:val="russianLower"/>
      <w:lvlText w:val="%2)"/>
      <w:pPr>
        <w:ind w:hanging="360" w:left="1440"/>
      </w:pPr>
    </w:lvl>
    <w:lvl w:ilvl="2">
      <w:start w:val="1"/>
      <w:numFmt w:val="lowerRoman"/>
      <w:lvlText w:val="%3)"/>
      <w:lvlJc w:val="right"/>
      <w:pPr>
        <w:ind w:hanging="360" w:left="2160"/>
      </w:pPr>
    </w:lvl>
    <w:lvl w:ilvl="3">
      <w:start w:val="1"/>
      <w:numFmt w:val="decimal"/>
      <w:lvlText w:val="%4)"/>
      <w:pPr>
        <w:ind w:hanging="360" w:left="2880"/>
      </w:pPr>
    </w:lvl>
    <w:lvl w:ilvl="4">
      <w:start w:val="1"/>
      <w:numFmt w:val="russianLower"/>
      <w:lvlText w:val="%5)"/>
      <w:pPr>
        <w:ind w:hanging="360" w:left="3600"/>
      </w:pPr>
    </w:lvl>
    <w:lvl w:ilvl="5">
      <w:start w:val="1"/>
      <w:numFmt w:val="lowerRoman"/>
      <w:lvlText w:val="%6)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russianLow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160" w:before="0" w:line="264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4" w:type="paragraph">
    <w:name w:val="Normal"/>
    <w:link w:val="Style_4_ch"/>
    <w:uiPriority w:val="0"/>
    <w:qFormat/>
  </w:style>
  <w:style w:default="1" w:styleId="Style_4_ch" w:type="character">
    <w:name w:val="Normal"/>
    <w:link w:val="Style_4"/>
  </w:style>
  <w:style w:styleId="Style_5" w:type="paragraph">
    <w:name w:val="footer"/>
    <w:basedOn w:val="Style_4"/>
    <w:link w:val="Style_5_ch"/>
    <w:pPr>
      <w:tabs>
        <w:tab w:leader="none" w:pos="4677" w:val="center"/>
        <w:tab w:leader="none" w:pos="9355" w:val="right"/>
      </w:tabs>
      <w:spacing w:after="0" w:line="240" w:lineRule="auto"/>
      <w:ind/>
    </w:pPr>
    <w:rPr>
      <w:rFonts w:ascii="Times New Roman" w:hAnsi="Times New Roman"/>
      <w:sz w:val="28"/>
    </w:rPr>
  </w:style>
  <w:style w:styleId="Style_5_ch" w:type="character">
    <w:name w:val="footer"/>
    <w:basedOn w:val="Style_4_ch"/>
    <w:link w:val="Style_5"/>
    <w:rPr>
      <w:rFonts w:ascii="Times New Roman" w:hAnsi="Times New Roman"/>
      <w:sz w:val="28"/>
    </w:rPr>
  </w:style>
  <w:style w:styleId="Style_6" w:type="paragraph">
    <w:name w:val="toc 2"/>
    <w:next w:val="Style_4"/>
    <w:link w:val="Style_6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6_ch" w:type="character">
    <w:name w:val="toc 2"/>
    <w:link w:val="Style_6"/>
    <w:rPr>
      <w:rFonts w:ascii="XO Thames" w:hAnsi="XO Thames"/>
      <w:sz w:val="28"/>
    </w:rPr>
  </w:style>
  <w:style w:styleId="Style_7" w:type="paragraph">
    <w:name w:val="toc 4"/>
    <w:next w:val="Style_4"/>
    <w:link w:val="Style_7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7_ch" w:type="character">
    <w:name w:val="toc 4"/>
    <w:link w:val="Style_7"/>
    <w:rPr>
      <w:rFonts w:ascii="XO Thames" w:hAnsi="XO Thames"/>
      <w:sz w:val="28"/>
    </w:rPr>
  </w:style>
  <w:style w:styleId="Style_8" w:type="paragraph">
    <w:name w:val="toc 6"/>
    <w:next w:val="Style_4"/>
    <w:link w:val="Style_8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8_ch" w:type="character">
    <w:name w:val="toc 6"/>
    <w:link w:val="Style_8"/>
    <w:rPr>
      <w:rFonts w:ascii="XO Thames" w:hAnsi="XO Thames"/>
      <w:sz w:val="28"/>
    </w:rPr>
  </w:style>
  <w:style w:styleId="Style_9" w:type="paragraph">
    <w:name w:val="toc 7"/>
    <w:next w:val="Style_4"/>
    <w:link w:val="Style_9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9_ch" w:type="character">
    <w:name w:val="toc 7"/>
    <w:link w:val="Style_9"/>
    <w:rPr>
      <w:rFonts w:ascii="XO Thames" w:hAnsi="XO Thames"/>
      <w:sz w:val="28"/>
    </w:rPr>
  </w:style>
  <w:style w:styleId="Style_10" w:type="paragraph">
    <w:name w:val="heading 3"/>
    <w:next w:val="Style_4"/>
    <w:link w:val="Style_10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10_ch" w:type="character">
    <w:name w:val="heading 3"/>
    <w:link w:val="Style_10"/>
    <w:rPr>
      <w:rFonts w:ascii="XO Thames" w:hAnsi="XO Thames"/>
      <w:b w:val="1"/>
      <w:sz w:val="26"/>
    </w:rPr>
  </w:style>
  <w:style w:styleId="Style_11" w:type="paragraph">
    <w:name w:val="Default Paragraph Font"/>
    <w:link w:val="Style_11_ch"/>
  </w:style>
  <w:style w:styleId="Style_11_ch" w:type="character">
    <w:name w:val="Default Paragraph Font"/>
    <w:link w:val="Style_11"/>
  </w:style>
  <w:style w:styleId="Style_12" w:type="paragraph">
    <w:name w:val="toc 3"/>
    <w:next w:val="Style_4"/>
    <w:link w:val="Style_12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12_ch" w:type="character">
    <w:name w:val="toc 3"/>
    <w:link w:val="Style_12"/>
    <w:rPr>
      <w:rFonts w:ascii="XO Thames" w:hAnsi="XO Thames"/>
      <w:sz w:val="28"/>
    </w:rPr>
  </w:style>
  <w:style w:styleId="Style_13" w:type="paragraph">
    <w:name w:val="Endnote"/>
    <w:link w:val="Style_13_ch"/>
    <w:pPr>
      <w:ind w:firstLine="851" w:left="0"/>
      <w:jc w:val="both"/>
    </w:pPr>
    <w:rPr>
      <w:rFonts w:ascii="XO Thames" w:hAnsi="XO Thames"/>
      <w:sz w:val="22"/>
    </w:rPr>
  </w:style>
  <w:style w:styleId="Style_13_ch" w:type="character">
    <w:name w:val="Endnote"/>
    <w:link w:val="Style_13"/>
    <w:rPr>
      <w:rFonts w:ascii="XO Thames" w:hAnsi="XO Thames"/>
      <w:sz w:val="22"/>
    </w:rPr>
  </w:style>
  <w:style w:styleId="Style_14" w:type="paragraph">
    <w:name w:val="heading 5"/>
    <w:next w:val="Style_4"/>
    <w:link w:val="Style_14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4_ch" w:type="character">
    <w:name w:val="heading 5"/>
    <w:link w:val="Style_14"/>
    <w:rPr>
      <w:rFonts w:ascii="XO Thames" w:hAnsi="XO Thames"/>
      <w:b w:val="1"/>
      <w:sz w:val="22"/>
    </w:rPr>
  </w:style>
  <w:style w:styleId="Style_15" w:type="paragraph">
    <w:name w:val="heading 1"/>
    <w:next w:val="Style_4"/>
    <w:link w:val="Style_15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15_ch" w:type="character">
    <w:name w:val="heading 1"/>
    <w:link w:val="Style_15"/>
    <w:rPr>
      <w:rFonts w:ascii="XO Thames" w:hAnsi="XO Thames"/>
      <w:b w:val="1"/>
      <w:sz w:val="32"/>
    </w:rPr>
  </w:style>
  <w:style w:styleId="Style_16" w:type="paragraph">
    <w:name w:val="Hyperlink"/>
    <w:basedOn w:val="Style_11"/>
    <w:link w:val="Style_16_ch"/>
    <w:rPr>
      <w:color w:themeColor="hyperlink" w:val="0563C1"/>
      <w:u w:val="single"/>
    </w:rPr>
  </w:style>
  <w:style w:styleId="Style_16_ch" w:type="character">
    <w:name w:val="Hyperlink"/>
    <w:basedOn w:val="Style_11_ch"/>
    <w:link w:val="Style_16"/>
    <w:rPr>
      <w:color w:themeColor="hyperlink" w:val="0563C1"/>
      <w:u w:val="single"/>
    </w:rPr>
  </w:style>
  <w:style w:styleId="Style_17" w:type="paragraph">
    <w:name w:val="Footnote"/>
    <w:link w:val="Style_17_ch"/>
    <w:pPr>
      <w:ind w:firstLine="851" w:left="0"/>
      <w:jc w:val="both"/>
    </w:pPr>
    <w:rPr>
      <w:rFonts w:ascii="XO Thames" w:hAnsi="XO Thames"/>
      <w:sz w:val="22"/>
    </w:rPr>
  </w:style>
  <w:style w:styleId="Style_17_ch" w:type="character">
    <w:name w:val="Footnote"/>
    <w:link w:val="Style_17"/>
    <w:rPr>
      <w:rFonts w:ascii="XO Thames" w:hAnsi="XO Thames"/>
      <w:sz w:val="22"/>
    </w:rPr>
  </w:style>
  <w:style w:styleId="Style_18" w:type="paragraph">
    <w:name w:val="toc 1"/>
    <w:next w:val="Style_4"/>
    <w:link w:val="Style_18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8_ch" w:type="character">
    <w:name w:val="toc 1"/>
    <w:link w:val="Style_18"/>
    <w:rPr>
      <w:rFonts w:ascii="XO Thames" w:hAnsi="XO Thames"/>
      <w:b w:val="1"/>
      <w:sz w:val="28"/>
    </w:rPr>
  </w:style>
  <w:style w:styleId="Style_19" w:type="paragraph">
    <w:name w:val="Header and Footer"/>
    <w:link w:val="Style_19_ch"/>
    <w:pPr>
      <w:spacing w:line="240" w:lineRule="auto"/>
      <w:ind/>
      <w:jc w:val="both"/>
    </w:pPr>
    <w:rPr>
      <w:rFonts w:ascii="XO Thames" w:hAnsi="XO Thames"/>
      <w:sz w:val="28"/>
    </w:rPr>
  </w:style>
  <w:style w:styleId="Style_19_ch" w:type="character">
    <w:name w:val="Header and Footer"/>
    <w:link w:val="Style_19"/>
    <w:rPr>
      <w:rFonts w:ascii="XO Thames" w:hAnsi="XO Thames"/>
      <w:sz w:val="28"/>
    </w:rPr>
  </w:style>
  <w:style w:styleId="Style_20" w:type="paragraph">
    <w:name w:val="toc 9"/>
    <w:next w:val="Style_4"/>
    <w:link w:val="Style_20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20_ch" w:type="character">
    <w:name w:val="toc 9"/>
    <w:link w:val="Style_20"/>
    <w:rPr>
      <w:rFonts w:ascii="XO Thames" w:hAnsi="XO Thames"/>
      <w:sz w:val="28"/>
    </w:rPr>
  </w:style>
  <w:style w:styleId="Style_21" w:type="paragraph">
    <w:name w:val="Balloon Text"/>
    <w:basedOn w:val="Style_4"/>
    <w:link w:val="Style_21_ch"/>
    <w:pPr>
      <w:spacing w:after="0" w:line="240" w:lineRule="auto"/>
      <w:ind/>
    </w:pPr>
    <w:rPr>
      <w:rFonts w:ascii="Segoe UI" w:hAnsi="Segoe UI"/>
      <w:sz w:val="18"/>
    </w:rPr>
  </w:style>
  <w:style w:styleId="Style_21_ch" w:type="character">
    <w:name w:val="Balloon Text"/>
    <w:basedOn w:val="Style_4_ch"/>
    <w:link w:val="Style_21"/>
    <w:rPr>
      <w:rFonts w:ascii="Segoe UI" w:hAnsi="Segoe UI"/>
      <w:sz w:val="18"/>
    </w:rPr>
  </w:style>
  <w:style w:styleId="Style_22" w:type="paragraph">
    <w:name w:val="toc 8"/>
    <w:next w:val="Style_4"/>
    <w:link w:val="Style_22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22_ch" w:type="character">
    <w:name w:val="toc 8"/>
    <w:link w:val="Style_22"/>
    <w:rPr>
      <w:rFonts w:ascii="XO Thames" w:hAnsi="XO Thames"/>
      <w:sz w:val="28"/>
    </w:rPr>
  </w:style>
  <w:style w:styleId="Style_1" w:type="paragraph">
    <w:name w:val="header"/>
    <w:basedOn w:val="Style_4"/>
    <w:link w:val="Style_1_ch"/>
    <w:pPr>
      <w:tabs>
        <w:tab w:leader="none" w:pos="4677" w:val="center"/>
        <w:tab w:leader="none" w:pos="9355" w:val="right"/>
      </w:tabs>
      <w:spacing w:after="0" w:line="240" w:lineRule="auto"/>
      <w:ind/>
    </w:pPr>
  </w:style>
  <w:style w:styleId="Style_1_ch" w:type="character">
    <w:name w:val="header"/>
    <w:basedOn w:val="Style_4_ch"/>
    <w:link w:val="Style_1"/>
  </w:style>
  <w:style w:styleId="Style_23" w:type="paragraph">
    <w:name w:val="toc 5"/>
    <w:next w:val="Style_4"/>
    <w:link w:val="Style_23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23_ch" w:type="character">
    <w:name w:val="toc 5"/>
    <w:link w:val="Style_23"/>
    <w:rPr>
      <w:rFonts w:ascii="XO Thames" w:hAnsi="XO Thames"/>
      <w:sz w:val="28"/>
    </w:rPr>
  </w:style>
  <w:style w:styleId="Style_24" w:type="paragraph">
    <w:name w:val="Plain Text"/>
    <w:basedOn w:val="Style_4"/>
    <w:link w:val="Style_24_ch"/>
    <w:pPr>
      <w:spacing w:after="0" w:line="240" w:lineRule="auto"/>
      <w:ind/>
    </w:pPr>
    <w:rPr>
      <w:rFonts w:ascii="Calibri" w:hAnsi="Calibri"/>
    </w:rPr>
  </w:style>
  <w:style w:styleId="Style_24_ch" w:type="character">
    <w:name w:val="Plain Text"/>
    <w:basedOn w:val="Style_4_ch"/>
    <w:link w:val="Style_24"/>
    <w:rPr>
      <w:rFonts w:ascii="Calibri" w:hAnsi="Calibri"/>
    </w:rPr>
  </w:style>
  <w:style w:styleId="Style_25" w:type="paragraph">
    <w:name w:val="Subtitle"/>
    <w:next w:val="Style_4"/>
    <w:link w:val="Style_25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25_ch" w:type="character">
    <w:name w:val="Subtitle"/>
    <w:link w:val="Style_25"/>
    <w:rPr>
      <w:rFonts w:ascii="XO Thames" w:hAnsi="XO Thames"/>
      <w:i w:val="1"/>
      <w:sz w:val="24"/>
    </w:rPr>
  </w:style>
  <w:style w:styleId="Style_26" w:type="paragraph">
    <w:name w:val="Title"/>
    <w:next w:val="Style_4"/>
    <w:link w:val="Style_26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26_ch" w:type="character">
    <w:name w:val="Title"/>
    <w:link w:val="Style_26"/>
    <w:rPr>
      <w:rFonts w:ascii="XO Thames" w:hAnsi="XO Thames"/>
      <w:b w:val="1"/>
      <w:caps w:val="1"/>
      <w:sz w:val="40"/>
    </w:rPr>
  </w:style>
  <w:style w:styleId="Style_27" w:type="paragraph">
    <w:name w:val="heading 4"/>
    <w:next w:val="Style_4"/>
    <w:link w:val="Style_27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7_ch" w:type="character">
    <w:name w:val="heading 4"/>
    <w:link w:val="Style_27"/>
    <w:rPr>
      <w:rFonts w:ascii="XO Thames" w:hAnsi="XO Thames"/>
      <w:b w:val="1"/>
      <w:sz w:val="24"/>
    </w:rPr>
  </w:style>
  <w:style w:styleId="Style_28" w:type="paragraph">
    <w:name w:val="heading 2"/>
    <w:next w:val="Style_4"/>
    <w:link w:val="Style_28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8_ch" w:type="character">
    <w:name w:val="heading 2"/>
    <w:link w:val="Style_28"/>
    <w:rPr>
      <w:rFonts w:ascii="XO Thames" w:hAnsi="XO Thames"/>
      <w:b w:val="1"/>
      <w:sz w:val="28"/>
    </w:rPr>
  </w:style>
  <w:style w:default="1" w:styleId="Style_2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styleId="Style_3" w:type="table">
    <w:name w:val="Table Grid"/>
    <w:basedOn w:val="Style_2"/>
    <w:pPr>
      <w:spacing w:after="0" w:line="240" w:lineRule="auto"/>
      <w:ind/>
    </w:p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29" w:type="table">
    <w:name w:val="Сетка таблицы2"/>
    <w:basedOn w:val="Style_2"/>
    <w:pPr>
      <w:spacing w:after="0" w:line="240" w:lineRule="auto"/>
      <w:ind/>
    </w:pPr>
    <w:rPr>
      <w:rFonts w:ascii="Times New Roman" w:hAnsi="Times New Roman"/>
      <w:sz w:val="20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30" w:type="table">
    <w:name w:val="Сетка таблицы1"/>
    <w:basedOn w:val="Style_2"/>
    <w:pPr>
      <w:spacing w:after="0" w:line="240" w:lineRule="auto"/>
      <w:ind/>
    </w:pPr>
    <w:rPr>
      <w:rFonts w:ascii="Times New Roman" w:hAnsi="Times New Roman"/>
      <w:sz w:val="20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23" Target="numbering.xml" Type="http://schemas.openxmlformats.org/officeDocument/2006/relationships/numbering"/>
  <Relationship Id="rId22" Target="theme/theme1.xml" Type="http://schemas.openxmlformats.org/officeDocument/2006/relationships/theme"/>
  <Relationship Id="rId21" Target="webSettings.xml" Type="http://schemas.openxmlformats.org/officeDocument/2006/relationships/webSettings"/>
  <Relationship Id="rId13" Target="media/11.jpeg" Type="http://schemas.openxmlformats.org/officeDocument/2006/relationships/image"/>
  <Relationship Id="rId11" Target="media/9.jpeg" Type="http://schemas.openxmlformats.org/officeDocument/2006/relationships/image"/>
  <Relationship Id="rId18" Target="settings.xml" Type="http://schemas.openxmlformats.org/officeDocument/2006/relationships/settings"/>
  <Relationship Id="rId17" Target="fontTable.xml" Type="http://schemas.openxmlformats.org/officeDocument/2006/relationships/fontTable"/>
  <Relationship Id="rId10" Target="media/8.jpeg" Type="http://schemas.openxmlformats.org/officeDocument/2006/relationships/image"/>
  <Relationship Id="rId15" Target="media/13.jpeg" Type="http://schemas.openxmlformats.org/officeDocument/2006/relationships/image"/>
  <Relationship Id="rId9" Target="media/7.jpeg" Type="http://schemas.openxmlformats.org/officeDocument/2006/relationships/image"/>
  <Relationship Id="rId20" Target="stylesWithEffects.xml" Type="http://schemas.microsoft.com/office/2007/relationships/stylesWithEffects"/>
  <Relationship Id="rId19" Target="styles.xml" Type="http://schemas.openxmlformats.org/officeDocument/2006/relationships/styles"/>
  <Relationship Id="rId8" Target="media/6.jpeg" Type="http://schemas.openxmlformats.org/officeDocument/2006/relationships/image"/>
  <Relationship Id="rId7" Target="media/5.jpeg" Type="http://schemas.openxmlformats.org/officeDocument/2006/relationships/image"/>
  <Relationship Id="rId14" Target="media/12.jpeg" Type="http://schemas.openxmlformats.org/officeDocument/2006/relationships/image"/>
  <Relationship Id="rId6" Target="media/4.jpeg" Type="http://schemas.openxmlformats.org/officeDocument/2006/relationships/image"/>
  <Relationship Id="rId5" Target="media/3.jpeg" Type="http://schemas.openxmlformats.org/officeDocument/2006/relationships/image"/>
  <Relationship Id="rId4" Target="media/2.png" Type="http://schemas.openxmlformats.org/officeDocument/2006/relationships/image"/>
  <Relationship Id="rId16" Target="media/14.jpeg" Type="http://schemas.openxmlformats.org/officeDocument/2006/relationships/image"/>
  <Relationship Id="rId12" Target="media/10.jpeg" Type="http://schemas.openxmlformats.org/officeDocument/2006/relationships/image"/>
  <Relationship Id="rId3" Target="media/1.jpeg" Type="http://schemas.openxmlformats.org/officeDocument/2006/relationships/image"/>
  <Relationship Id="rId2" Target="header2.xml" Type="http://schemas.openxmlformats.org/officeDocument/2006/relationships/header"/>
  <Relationship Id="rId1" Target="header1.xml" Type="http://schemas.openxmlformats.org/officeDocument/2006/relationships/header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MyOffice-CoreFramework-Linux/28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2025-04-22T02:06:51Z</dcterms:modified>
</cp:coreProperties>
</file>