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spacing w:lineRule="auto" w:line="240" w:before="0" w:after="0"/>
        <w:ind w:left="30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0"/>
          <w:lang w:val="ru-RU" w:eastAsia="ru-RU" w:bidi="ar-SA"/>
        </w:rPr>
        <w:t>Об утверждении Порядка распоряжения имуществом, обращаемым в собственность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position w:val="0"/>
          <w:sz w:val="28"/>
          <w:sz w:val="28"/>
          <w:vertAlign w:val="baseline"/>
        </w:rPr>
        <w:t>статьи 32</w:t>
      </w:r>
      <w:r>
        <w:rPr>
          <w:rFonts w:ascii="Times New Roman" w:hAnsi="Times New Roman"/>
          <w:sz w:val="28"/>
          <w:vertAlign w:val="superscript"/>
        </w:rPr>
        <w:t xml:space="preserve">4 </w:t>
      </w:r>
      <w:r>
        <w:rPr>
          <w:rFonts w:ascii="Times New Roman" w:hAnsi="Times New Roman"/>
          <w:position w:val="0"/>
          <w:sz w:val="28"/>
          <w:sz w:val="28"/>
          <w:vertAlign w:val="baseline"/>
        </w:rPr>
        <w:t>Кодекса Российской Федерации об административных правонарушениях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  <w:tab/>
        <w:t>Утвердить Порядок распоряжения имуществом, обращаемым в собственность Камчатского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0"/>
        <w:gridCol w:w="3552"/>
        <w:gridCol w:w="2568"/>
      </w:tblGrid>
      <w:tr>
        <w:trPr>
          <w:trHeight w:val="2220" w:hRule="atLeast"/>
        </w:trPr>
        <w:tc>
          <w:tcPr>
            <w:tcW w:w="35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rPr/>
      </w:pPr>
      <w:r>
        <w:rPr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78"/>
        <w:gridCol w:w="486"/>
        <w:gridCol w:w="1691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распоряжения имуществом, обращаемым в собственность Камчатского края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960" w:leader="none"/>
        </w:tabs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1.</w:t>
        <w:tab/>
        <w:t>Настоящий порядок регулирует вопросы распоряжения конфискованным имуществом, за исключением имущества, подлежащего конфискации в соответствии со статьей 14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 xml:space="preserve"> или с главой 16 Кодекса 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</w:rPr>
        <w:t xml:space="preserve">Российской Федерации об административных правонарушениях, </w:t>
        <w:br/>
      </w:r>
      <w:r>
        <w:rPr>
          <w:rFonts w:ascii="Times New Roman" w:hAnsi="Times New Roman"/>
          <w:sz w:val="28"/>
          <w:szCs w:val="28"/>
        </w:rPr>
        <w:t xml:space="preserve">явившимся орудием совершения или предметом административного правонарушения, </w:t>
      </w:r>
      <w:r>
        <w:rPr>
          <w:rFonts w:ascii="Times New Roman" w:hAnsi="Times New Roman"/>
          <w:sz w:val="28"/>
          <w:szCs w:val="28"/>
          <w:shd w:fill="auto" w:val="clear"/>
        </w:rPr>
        <w:t>подлежащим</w:t>
      </w:r>
      <w:r>
        <w:rPr>
          <w:rFonts w:ascii="Times New Roman" w:hAnsi="Times New Roman"/>
          <w:sz w:val="28"/>
          <w:szCs w:val="28"/>
        </w:rPr>
        <w:t xml:space="preserve"> обращению в собственность Камчатского </w:t>
        <w:br/>
        <w:t xml:space="preserve">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имущество).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Порядок не распространяется на имущество, обращенное в собственность Камчатского края, в отношении которого законодательством Российской Федерации установлен особый порядок распоряжения.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3.</w:t>
      </w:r>
      <w:r>
        <w:rPr>
          <w:rFonts w:ascii="Times New Roman" w:hAnsi="Times New Roman"/>
          <w:sz w:val="28"/>
          <w:szCs w:val="28"/>
        </w:rPr>
        <w:t xml:space="preserve"> Обращению в собственность Камчатского края подлежит следующее имущество: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 парфюмерная, косметическая продукция и бытовая химия; 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2) продовольственная и сельскохозяйственная продукция;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3) телефоны, компьютерная и бытовая техника и их комплектующие;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4) печатная и иная полиграфическая продукция;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5) лекарственные препараты и медицинское оборудование;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6) мебель, предметы интерьера и прочая продукция бытового назначения;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7) тара, упаковка.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Распоряжение имуществом в соответствии с настоящим Порядком осуществляет Министерство имущественных и земельных отношений Камчатского 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Министерство).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Министерство для целей распоряжения имуществом в соответствии с законодательством Российской Федерации осуществляет его учет, организует прием, проведение оценки, экспертизы,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транспортировку (перевозку), </w:t>
        <w:br/>
      </w:r>
      <w:r>
        <w:rPr>
          <w:rFonts w:ascii="Times New Roman" w:hAnsi="Times New Roman"/>
          <w:sz w:val="28"/>
          <w:szCs w:val="28"/>
        </w:rPr>
        <w:t xml:space="preserve">хранение и последующее распоряжение способами, предусмотренными </w:t>
        <w:br/>
        <w:t>част</w:t>
      </w:r>
      <w:r>
        <w:rPr>
          <w:rFonts w:ascii="Times New Roman" w:hAnsi="Times New Roman"/>
          <w:sz w:val="28"/>
          <w:szCs w:val="28"/>
          <w:shd w:fill="auto" w:val="clear"/>
        </w:rPr>
        <w:t>ью 12 настоящего Порядка.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6. Для оказания услуг по экспертизе, оценке, транспортировке (перевозке), хранению, а также услуг по распоряжению имуществом способами, предусмотренными частью 12 настоящего Порядка, Министерство вправе привлекать юридических и физических лиц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исполнитель)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7. Передача имущества осуществляется на основании акта </w:t>
        <w:br/>
        <w:t>приема-передачи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8. Министерство принимает имущество в фактическом количестве (объеме).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выявлении количественных расхождений и (или) видимых дефектов (недостатков качества) имущества в акте приема-передачи имущества делается соответствующая отметка.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9. Министерство осуществляет прием имущества в срок не более </w:t>
        <w:br/>
        <w:t xml:space="preserve">30 рабочих дней со дня поступления уведомления о готовности к передаче </w:t>
        <w:br/>
        <w:t>имущества 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10. </w:t>
      </w:r>
      <w:r>
        <w:rPr>
          <w:rFonts w:ascii="Times New Roman" w:hAnsi="Times New Roman"/>
          <w:sz w:val="28"/>
          <w:szCs w:val="28"/>
          <w:shd w:fill="auto" w:val="clear"/>
        </w:rPr>
        <w:t>Министерство обеспечивает сохранность имущества со дня подписания акта приема-передачи имущества до завершения распоряжения таким имуществом способами, предусмотренными частью 12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11. Министерство осуществляет учет переданного ему имущества в</w:t>
      </w:r>
      <w:r>
        <w:rPr>
          <w:rFonts w:ascii="Times New Roman" w:hAnsi="Times New Roman"/>
          <w:color w:val="C9211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соответствии с законодательством Российской Федерации о бухгалтерском учете по стоимости, указанной в акте приема-передачи имущества, а в случае отсутствия информации о стоимости в акте приема-передачи имущества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в условной оценке: 1 объект имущества стоит 1 рубль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учетная стоимость).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12. Распоряжение имуществом осуществляется следующими способами: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закрепление на праве оперативного управления за исполнительными органами Камчатского края, краевыми государственными учреждениями или на праве хозяйственного ведения за краевыми унитарными предприятиями;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передача в муниципальную собственность;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3) реализация;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4) переработка (утилизация);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5) уничтожение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13. Решение о способе распоряжения имуществом, оформленное протоколом, принимается Комиссией Министерства по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рассмотрению вопросов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 распоряжении имуществом, обращенным в собственность Камчатского </w:t>
        <w:br/>
        <w:t xml:space="preserve">края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комиссия).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14. В случае наличия потребности в имуществе, указанном в части 3 настоящего Порядка, у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исполнительного органа Камчатского края, краевого государственного учреждения, краевого унитарного предприятия </w:t>
      </w:r>
      <w:r>
        <w:rPr>
          <w:rFonts w:ascii="Times New Roman" w:hAnsi="Times New Roman"/>
          <w:sz w:val="28"/>
          <w:szCs w:val="28"/>
          <w:shd w:fill="auto" w:val="clear"/>
        </w:rPr>
        <w:t>или муниципального образования в Камчатском крае, такое имущество может быть закреплено соответственно на праве оперативного управления или хозяйственного ведения либо передано в собственность муниципального образования в Камчатском крае в соответствии с законодательством Российской Федерации и Камчатского края.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15. Реализация имущества осуществляется для использования его по прямому назначению или в качестве годных остатков отдельных узлов, деталей, агрегатов, материалов (в том числе в сборном виде), а также в качестве вторичного сырья, лома, утиля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годные остатки).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16. При принятии комиссией решения о реализации имущества, в случае если из правоустанавливающих документов не следует, что такое имущество ранее было в употреблении, Министерство организует проведение экспертизы имущества на предмет проверки его соответствия требованиям </w:t>
        <w:br/>
        <w:t xml:space="preserve">технических регламентов, документам по стандартизации в порядке, предусмотренном законодательством Российской Федерации о техническом </w:t>
        <w:br/>
        <w:t xml:space="preserve">регулировании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экспертиза соответствия).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признании имущества соответствующим требованиям технических регламентов, документам по стандартизации Министерство организует оценку его рыночной стоимости в соответствии с законодательством об оценочной деятельности в Российской Федерации с последующим соответствующим отражением (корректировкой) учетной стоимости имущества.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В случае если из правоустанавливающих документов следует, что имущество ранее было в употреблении, Министерство организует </w:t>
        <w:br/>
        <w:t xml:space="preserve">проведение экспертизы имущества в целях подтверждения его безопасности для жизни и здоровья человека и возможности использования по прямому назначению (далее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– </w:t>
      </w:r>
      <w:r>
        <w:rPr>
          <w:rFonts w:ascii="Times New Roman" w:hAnsi="Times New Roman"/>
          <w:sz w:val="28"/>
          <w:szCs w:val="28"/>
          <w:shd w:fill="auto" w:val="clear"/>
        </w:rPr>
        <w:t>экспертиза безопасности).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При признании имущества безопасным для жизни и здоровья </w:t>
        <w:br/>
        <w:t>человека и возможности его использования по прямому назначению Министерство организует оценку рыночной стоимости имущества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17. В случае если в соответствии с заключением экспертизы безопасности имущество признано непригодным для использования по прямому назначению либо в соответствии с заключением экспертизы соответствия указанное имущество не соответствует требованиям технических регламентов, документам по стандартизации, такое имущество может решением комиссии направляться на реализацию в качестве годных остатков. В данном случае Министерство организует оценку рыночной стоимости годных остатков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18. Реализация имущества, в том числе в качестве годных остатков в соответствии с частью 17 настоящего Порядка, осуществляется в порядке, установленном приказом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19. В случае если имущество не было реализовано, оно подлежит направлению на уничтожение в соответствии с частью 24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20. Отобранные экспертом (экспертной организацией) образцы (пробы) имущества для проведения экспертиз, предусмотренных частью 16 настоящего Порядка, передаются по акту приема-передачи, подписываемому экспертом и представителем Министерства.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Образцы (пробы) имущества отобранные экспертом (экспертной организацией) для проведения экспертиз, предусмотренных частью 16 настоящего Порядка, израсходованные или приведенные в непригодное для дальнейшей реализации состояние, подлежат списанию Министерством.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Образцы (пробы) имущества отобранные экспертом (экспертной организацией) для проведения экспертиз, предусмотренных частью 16 настоящего Порядка, но неизрасходованные или не приведенные в непригодное для дальнейшей реализации состояние при проведении исследований (испытаний), подлежат возврату в Министерство.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Израсходование, а также возврат образцов (проб) должны быть подтверждены документально.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21. Имущество не подлежит реализации, если: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>1) имущество в соответствии с заключением экспертизы безопасности признано небезопасным для жизни и здоровья человека;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срок годности (хранения, использования) имущества истек.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Переработка (утилизация) или уничтожение указанного имущества осуществляется в соответствии с частями 22–24 настоящего Порядка. 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22. При направлении имущества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переработку (утилизацию)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Министерство организует проведение оценки имущества как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вторичного сырья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в соответствии с законодательством об оценочной деятельности в Российской Федерации с последующим соответствующим отражением корректировки учетной стоимости.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привлечении исполнителя для оказания услуг по переработке (утилизации) имущества договор об оказании услуг по переработке (утилизации) имущества должен содержать существенное условие о переходе права собственности на новую вещь, полученную в результате переработки (утилизации), к лицу, осуществившему переработку (утилизацию), с компенсацией Министерству стоимости имущества как вторичного сырья, определенной в соответствии с настоящей частью, а также об ответственности исполнителя, предусмотренной частью 23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Денежные средства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, по</w:t>
      </w:r>
      <w:r>
        <w:rPr>
          <w:rFonts w:ascii="Times New Roman" w:hAnsi="Times New Roman"/>
          <w:sz w:val="28"/>
          <w:szCs w:val="28"/>
          <w:shd w:fill="auto" w:val="clear"/>
        </w:rPr>
        <w:t>лученные в качестве компенсации стоимости имущества как вторичного сырья, подлежат перечислению на счета органов Федерального казначейства для учета операций со средствами, поступающими во временное распоряжение, с отражением на лицевых счетах, открытых Министерству в органах Федерального казначейства.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Денежные средства, зачисленные на счета для учета операций со средствами, поступающими во временное распоряжение в соответствии с настоящей частью, подлежат перечислению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Министерством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 доход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краевого бюджета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в соответствии с бюджетным законодательством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Российской Федерации.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23. Исполнитель, оказывающий услуги по переработке (утилизации) или уничтожению имущества: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несет ответственность за достоверность документов, подтверждающих переработку (утилизацию) или уничтожение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направляет в Министерство акт переработки (утилизации) или уничтожения имущества, который должен содержать следующую информацию: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наименование и идентификационный номер налогоплательщика лица, осуществившего переработку (утилизацию) или уничтожение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место и способ переработки (утилизации) или уничтожения имущества;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реквизиты протокола решения комиссии о направлении имущества на переработку (утилизацию) или уничтожение;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наименование, количество, учетную стоимость и иные характеристики (описание) имущества, позволяющие его идентифицировать в соответствии с уведомлением;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фото- и видеоотчет о переработке (утилизации) или уничтожении имущества. При формировании видеоотчета видеозапись процесса переработки (утилизации) или уничтожения должна быть осуществлена в непрерывном режиме в целях фиксации всего процесса переработки (утилизации) или уничтожения.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Акт переработки (утилизации) или уничтожения имущества подписывается исполнителем либо его уполномоченным лицом и заверяется печатью исполнителя (при ее наличии).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Акт переработки (утилизации) или уничтожения имущества является результатом распоряжения данным имуществом и основанием для 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го 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писания в бухгалтерском учете.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24. Имущество подлежит исключительно уничтожению в случаях, установленных законодательством Российской Федерации, а также при наличии прямого указания на уничтожение в судебном акте об обращении имущества в собственность Камчатского края.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направлении имущества на уничтожение оценка имущества не проводится.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привлечении исполнителя для оказания услуг по уничтожению имущества договор на оказание услуг по уничтожению имущества должен содержать существенное условие о переходе права собственности на отходы (имущество), полученные в результате уничтожения, к лицу, осуществившему уничтожение, а также об ответственности исполнителя, предусмотренной частью 23 настоящего Порядка.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BodyText"/>
        <w:widowControl/>
        <w:bidi w:val="0"/>
        <w:spacing w:lineRule="auto" w:line="264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1134" w:top="173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LibreOffice/24.2.0.3$Windows_X86_64 LibreOffice_project/da48488a73ddd66ea24cf16bbc4f7b9c08e9bea1</Application>
  <AppVersion>15.0000</AppVersion>
  <Pages>6</Pages>
  <Words>1434</Words>
  <Characters>10914</Characters>
  <CharactersWithSpaces>12288</CharactersWithSpaces>
  <Paragraphs>82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cp:lastPrinted>2025-01-30T16:40:45Z</cp:lastPrinted>
  <dcterms:modified xsi:type="dcterms:W3CDTF">2025-01-30T16:56:33Z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