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47"/>
      </w:tblGrid>
      <w:tr>
        <w:tc>
          <w:tcPr>
            <w:tcW w:type="dxa" w:w="974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внесении изменений в постановление Правительства Камчатского края от 02.04.2021 № 118-П «Об утверждении Порядка оказания государственной социальной помощи на основании социального контракта малоимущим гражданам»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</w:t>
      </w:r>
      <w:r>
        <w:rPr>
          <w:rFonts w:ascii="Times New Roman" w:hAnsi="Times New Roman"/>
          <w:b w:val="0"/>
          <w:sz w:val="28"/>
        </w:rPr>
        <w:t xml:space="preserve">ести в </w:t>
      </w:r>
      <w:r>
        <w:rPr>
          <w:rFonts w:ascii="Times New Roman" w:hAnsi="Times New Roman"/>
          <w:b w:val="0"/>
          <w:color w:val="000000"/>
          <w:sz w:val="28"/>
        </w:rPr>
        <w:t>постановление Правительства Камчатского края от 02.04.2021 №</w:t>
      </w:r>
      <w:r>
        <w:rPr>
          <w:rFonts w:ascii="Times New Roman" w:hAnsi="Times New Roman"/>
          <w:b w:val="0"/>
          <w:color w:val="000000"/>
          <w:sz w:val="28"/>
        </w:rPr>
        <w:t xml:space="preserve"> 118-П «Об утверждении Порядка оказания государственной социальной помощи на основании социального контракта малоимущим гражданам»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 согласно приложению</w:t>
      </w:r>
      <w: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менени</w:t>
      </w:r>
      <w:r>
        <w:rPr>
          <w:rFonts w:ascii="Times New Roman" w:hAnsi="Times New Roman"/>
          <w:sz w:val="28"/>
        </w:rPr>
        <w:t>я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постановление Правительства Камчатского края от 02.04.2021 №</w:t>
      </w:r>
      <w:r>
        <w:rPr>
          <w:rFonts w:ascii="Times New Roman" w:hAnsi="Times New Roman"/>
          <w:b w:val="0"/>
          <w:color w:val="000000"/>
          <w:sz w:val="28"/>
        </w:rPr>
        <w:t xml:space="preserve"> 118-П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>«Об утверждении Порядка оказания государственной социальной помощи на основании социального контракта малоимущим гражданам»</w:t>
      </w:r>
      <w:r>
        <w:rPr>
          <w:rFonts w:ascii="Times New Roman" w:hAnsi="Times New Roman"/>
          <w:sz w:val="28"/>
        </w:rPr>
        <w:t xml:space="preserve"> 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Н</w:t>
      </w:r>
      <w:r>
        <w:rPr>
          <w:rFonts w:ascii="Times New Roman" w:hAnsi="Times New Roman"/>
          <w:sz w:val="28"/>
        </w:rPr>
        <w:t>аименование изложить в следующей редакции: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Об утверждении Порядка оказания государственной социальной помощи на основании социального контракта малоимущим гражданам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</w:t>
      </w:r>
      <w:r>
        <w:rPr>
          <w:rFonts w:ascii="Times New Roman" w:hAnsi="Times New Roman"/>
          <w:sz w:val="28"/>
        </w:rPr>
        <w:t xml:space="preserve"> Приложении: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часть 15 изложить в следующей редакции: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5. Государственная социальная помощь в приоритетном порядке оказывается гражданам, проживающим в многодетных семьях, семьях с детьми</w:t>
      </w:r>
      <w:r>
        <w:rPr>
          <w:rFonts w:ascii="Times New Roman" w:hAnsi="Times New Roman"/>
          <w:strike w:val="0"/>
          <w:color w:val="000000"/>
          <w:sz w:val="28"/>
        </w:rPr>
        <w:t>.</w:t>
      </w:r>
      <w:r>
        <w:rPr>
          <w:rFonts w:ascii="Times New Roman" w:hAnsi="Times New Roman"/>
          <w:strike w:val="0"/>
          <w:color w:val="000000"/>
          <w:sz w:val="28"/>
        </w:rPr>
        <w:t>»;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пункт 3 части 37 </w:t>
      </w: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«3)</w:t>
      </w:r>
      <w:r>
        <w:rPr>
          <w:rFonts w:ascii="Times New Roman" w:hAnsi="Times New Roman"/>
          <w:b w:val="0"/>
          <w:sz w:val="28"/>
        </w:rPr>
        <w:t xml:space="preserve"> одиноко проживающий трудоспособный гражданин, трудоспособные члены малоимущей семьи не осуществляют либо не осуществляли трудовую деятельность в расчетный период, но при этом </w:t>
      </w:r>
      <w:r>
        <w:rPr>
          <w:rFonts w:ascii="Times New Roman" w:hAnsi="Times New Roman"/>
          <w:color w:val="000000"/>
          <w:sz w:val="28"/>
        </w:rPr>
        <w:t>состоят на учете в органах службы занятости в качестве безработного (безработных) или ищущего (ищущих) работу на дату обращения за оказанием государственной социальной помощ</w:t>
      </w:r>
      <w:r>
        <w:rPr>
          <w:rFonts w:ascii="Times New Roman" w:hAnsi="Times New Roman"/>
          <w:color w:val="000000"/>
          <w:sz w:val="28"/>
        </w:rPr>
        <w:t>и;</w:t>
      </w:r>
      <w:r>
        <w:rPr>
          <w:rFonts w:ascii="Times New Roman" w:hAnsi="Times New Roman"/>
          <w:color w:val="000000"/>
          <w:sz w:val="28"/>
        </w:rPr>
        <w:t>»;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3) доп</w:t>
      </w:r>
      <w:r>
        <w:rPr>
          <w:rFonts w:ascii="Times New Roman" w:hAnsi="Times New Roman"/>
          <w:sz w:val="28"/>
        </w:rPr>
        <w:t xml:space="preserve">олнить частью </w:t>
      </w:r>
      <w:r>
        <w:rPr>
          <w:rFonts w:ascii="Times New Roman" w:hAnsi="Times New Roman"/>
          <w:color w:val="000000"/>
          <w:sz w:val="28"/>
        </w:rPr>
        <w:t>48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«4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Подача заявления уполномоченным представителем заявителя не предусмотрена.»;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в части 82 слова «</w:t>
      </w:r>
      <w:r>
        <w:rPr>
          <w:rFonts w:ascii="Times New Roman" w:hAnsi="Times New Roman"/>
          <w:color w:val="000000"/>
          <w:sz w:val="28"/>
        </w:rPr>
        <w:t xml:space="preserve">по основаниям, предусмотренным пунктами 4 и 5» заменить словами </w:t>
      </w:r>
      <w:r>
        <w:rPr>
          <w:rFonts w:ascii="Times New Roman" w:hAnsi="Times New Roman"/>
          <w:color w:val="000000"/>
          <w:sz w:val="28"/>
        </w:rPr>
        <w:t>«по основанию, предусмотренному пунктом 4»;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в части 83 слова «</w:t>
      </w:r>
      <w:r>
        <w:rPr>
          <w:rFonts w:ascii="Times New Roman" w:hAnsi="Times New Roman"/>
          <w:color w:val="000000"/>
          <w:sz w:val="28"/>
        </w:rPr>
        <w:t>либо при корректировке численности получателей государственной социальной помощи по мероприятиям, указанным в части 12 настоящего Порядка,» исключить;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часть 97 изложить в следующей редакции:</w:t>
      </w: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strike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«97. В течение 3 рабочих дней со дня подготовки проекта социального контракта документы и сведения, указанные в частях 47, 50 и 54 настоящего Порядка, лист собеседования и акт материально-бытового обследования условий проживания гражданина (членов его семьи), сформированные в личное дело, с проектом социального контракта, к которому прилагается проект программы </w:t>
      </w:r>
      <w:r>
        <w:rPr>
          <w:rFonts w:ascii="Times New Roman" w:hAnsi="Times New Roman"/>
          <w:color w:val="000000"/>
          <w:sz w:val="28"/>
        </w:rPr>
        <w:t>социально</w:t>
      </w:r>
      <w:r>
        <w:rPr>
          <w:rFonts w:ascii="Times New Roman" w:hAnsi="Times New Roman"/>
          <w:color w:val="000000"/>
          <w:sz w:val="28"/>
        </w:rPr>
        <w:t xml:space="preserve">й адаптации, передаются на рассмотрение межведомственной комиссии,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ор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ядок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формирования и работы которой установлен Приложением № 10 к настоящему Порядку </w:t>
      </w:r>
      <w:r>
        <w:rPr>
          <w:rFonts w:ascii="Times New Roman" w:hAnsi="Times New Roman"/>
          <w:strike w:val="0"/>
          <w:color w:val="000000"/>
          <w:sz w:val="28"/>
          <w:u w:val="none"/>
        </w:rPr>
        <w:t>(далее – Комиссия)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части 98 и 99 признать утратившими силу;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часть 129 дополнить пунктом 10 следующего содержания: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«10) неполучение денежных средств в срок, установленный социальным контрактом, не по вине заявителя</w:t>
      </w:r>
      <w:r>
        <w:rPr>
          <w:rFonts w:ascii="Times New Roman" w:hAnsi="Times New Roman"/>
          <w:color w:val="000000"/>
          <w:sz w:val="28"/>
        </w:rPr>
        <w:t>.»;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дополнить приложением 10 следующего содержания: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W w:type="auto" w:w="0"/>
        <w:tblInd w:type="dxa" w:w="595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5"/>
      </w:tblGrid>
      <w:tr>
        <w:tc>
          <w:tcPr>
            <w:tcW w:type="dxa" w:w="36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line="240" w:lineRule="auto"/>
              <w:ind/>
              <w:jc w:val="both"/>
              <w:outlineLvl w:val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«Приложение 10 к Порядку оказания государственной социальной помощи на основании социального контракта малоимущим гражданам</w:t>
            </w:r>
          </w:p>
        </w:tc>
      </w:tr>
    </w:tbl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орядок</w:t>
      </w:r>
    </w:p>
    <w:p w14:paraId="4F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формирования и работы межведомственной к</w:t>
      </w:r>
      <w:r>
        <w:rPr>
          <w:rFonts w:ascii="Times New Roman" w:hAnsi="Times New Roman"/>
          <w:b w:val="0"/>
          <w:sz w:val="28"/>
        </w:rPr>
        <w:t>омиссии по вопросам оказания государственной социальной помощи на основании социального контракта</w:t>
      </w:r>
    </w:p>
    <w:p w14:paraId="50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51000000">
      <w:pPr>
        <w:numPr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Общие положения</w:t>
      </w:r>
    </w:p>
    <w:p w14:paraId="5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Настоящий Порядок разработан в целях реализаци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постановления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Российской Федерации от 16.11.2023 № 1931 «Об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</w:t>
      </w:r>
      <w:r>
        <w:br/>
      </w:r>
      <w:r>
        <w:rPr>
          <w:rFonts w:ascii="Times New Roman" w:hAnsi="Times New Roman"/>
          <w:b w:val="0"/>
          <w:sz w:val="28"/>
        </w:rPr>
        <w:t xml:space="preserve">«О государственной социальной помощи», </w:t>
      </w:r>
      <w:r>
        <w:rPr>
          <w:rFonts w:ascii="Times New Roman" w:hAnsi="Times New Roman"/>
          <w:b w:val="0"/>
          <w:color w:val="000000"/>
          <w:sz w:val="28"/>
        </w:rPr>
        <w:t>постановления Правительства Камчатского края от 02.04.2021 №</w:t>
      </w:r>
      <w:r>
        <w:rPr>
          <w:rFonts w:ascii="Times New Roman" w:hAnsi="Times New Roman"/>
          <w:b w:val="0"/>
          <w:color w:val="000000"/>
          <w:sz w:val="28"/>
        </w:rPr>
        <w:t xml:space="preserve"> 118-П «Об утверждении Порядка оказания государственной социальной помощи на основании социального контракта малоимущим гражданам» (далее – постановление </w:t>
      </w:r>
      <w:r>
        <w:rPr>
          <w:rFonts w:ascii="Times New Roman" w:hAnsi="Times New Roman"/>
          <w:b w:val="0"/>
          <w:color w:val="000000"/>
          <w:sz w:val="28"/>
        </w:rPr>
        <w:t>Правительства Камчатского края от 02.04.2021 №</w:t>
      </w:r>
      <w:r>
        <w:rPr>
          <w:rFonts w:ascii="Times New Roman" w:hAnsi="Times New Roman"/>
          <w:b w:val="0"/>
          <w:color w:val="000000"/>
          <w:sz w:val="28"/>
        </w:rPr>
        <w:t xml:space="preserve"> 118-П)</w:t>
      </w:r>
      <w:r>
        <w:rPr>
          <w:rFonts w:ascii="Times New Roman" w:hAnsi="Times New Roman"/>
          <w:b w:val="0"/>
          <w:sz w:val="28"/>
        </w:rPr>
        <w:t xml:space="preserve"> и определяет порядок формирования и работы коллегиального органа по вопросам оказания государственной социальной помощи на основании социального контракта.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Межведомственная комиссия по вопросам оказания государственной социальной помощи на основании социального контракта (далее – Комиссия) создается в целях всестороннего и объективного рассмотрения заявлений о назначении государственной социальной помощи на основании социального контракта (далее – заявление о назначении), выработки согласованных мероприятий по выходу гражданина и (или) его семьи из трудной жизненной ситуации.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56000000">
      <w:pPr>
        <w:numPr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Состав и полномочия Комиссии</w:t>
      </w:r>
    </w:p>
    <w:p w14:paraId="57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 </w:t>
      </w:r>
    </w:p>
    <w:p w14:paraId="58000000">
      <w:pPr>
        <w:spacing w:after="0" w:before="0" w:line="240" w:lineRule="auto"/>
        <w:ind w:firstLine="709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3. С</w:t>
      </w:r>
      <w:r>
        <w:rPr>
          <w:rFonts w:ascii="Times New Roman" w:hAnsi="Times New Roman"/>
          <w:b w:val="0"/>
          <w:strike w:val="0"/>
          <w:sz w:val="28"/>
        </w:rPr>
        <w:t>остав Комиссии утверждается нормативным правовым актом органа местного самоуправления муниципального района, городского (муниципального) округа в Камчатском крае (далее – орган местного самоуправления)</w:t>
      </w:r>
      <w:r>
        <w:rPr>
          <w:rFonts w:ascii="Times New Roman" w:hAnsi="Times New Roman"/>
          <w:b w:val="0"/>
          <w:strike w:val="0"/>
          <w:sz w:val="28"/>
        </w:rPr>
        <w:t xml:space="preserve"> и формируется из представителей </w:t>
      </w:r>
      <w:r>
        <w:rPr>
          <w:rFonts w:ascii="Times New Roman" w:hAnsi="Times New Roman"/>
          <w:strike w:val="0"/>
          <w:color w:val="000000"/>
          <w:sz w:val="28"/>
        </w:rPr>
        <w:t xml:space="preserve">органа местного самоуправления, органов социальной защиты населения, образования, здравоохранения, опеки и попечительства, органов службы занятости, органов и должностных лиц, уполномоченных в сферах регулирования малого и среднего предпринимательства, организаций инфраструктуры поддержки субъектов малого и среднего предпринимательства, иных заинтересованных органов и организаций 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4. В состав Комиссии входят Председатель Комиссии, его заместитель, секретарь и члены Комиссии.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5. Полномочиями Комиссии являются: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установление соответствия (несоответствия) заявителя и членов его семьи условиям принятия решения о назначении государственной социальной помощи на основании социального контракта, предусмотренным постановлением </w:t>
      </w:r>
      <w:r>
        <w:rPr>
          <w:rFonts w:ascii="Times New Roman" w:hAnsi="Times New Roman"/>
          <w:b w:val="0"/>
          <w:color w:val="000000"/>
          <w:sz w:val="28"/>
        </w:rPr>
        <w:t>Правительства Камчатского края от 02.04.2021 №</w:t>
      </w:r>
      <w:r>
        <w:rPr>
          <w:rFonts w:ascii="Times New Roman" w:hAnsi="Times New Roman"/>
          <w:b w:val="0"/>
          <w:color w:val="000000"/>
          <w:sz w:val="28"/>
        </w:rPr>
        <w:t xml:space="preserve"> 118-П</w:t>
      </w:r>
      <w:r>
        <w:rPr>
          <w:rFonts w:ascii="Times New Roman" w:hAnsi="Times New Roman"/>
          <w:b w:val="0"/>
          <w:sz w:val="28"/>
        </w:rPr>
        <w:t>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2) комплексный анализ программы социальной адаптации с прилагаемыми к ней заявлением о назначении и документами, проекта социального контракта и подготовленного заявителем бизнес-плана в целях реализации социального контракта по мероприятию «Осуществление индивидуальной предпринимательской деятельности» или сметы расходов в целях реализации социального контракта по мероприятию «Ведение личного подсобного хозяйства»;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3) одобрение (возвращение на доработку) программы социальной адаптации, бизнес-плана или сметы расходов;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4) внесение предложений по изменению мероприятий программы социальной адаптации, бизнес-плана или сметы расходов;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5) организация взаимодействия заинтересованных органов и организаций в целях предоставления государственной социальной помощи на основании социального контракта;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6) вынесение рекомендаций о возможности либо о нецелесообразности (невозможности) оказания государственной социальной помощи на основании социального контракта.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6. Для исполнения своих полномочий Комиссия вправе: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1) приглашать при необходимости на заседания Комиссии заявителя, программа социальной адаптации, бизнес-план или смета расходов которого подлежит рассмотрению;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2) запрашивать от организаций документы, материалы и иную информацию, необходимые для осуществления своих полномочий;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3) вносить предложения по вопросам, связанным с предоставлением государственной соци</w:t>
      </w:r>
      <w:r>
        <w:rPr>
          <w:rFonts w:ascii="Times New Roman" w:hAnsi="Times New Roman"/>
          <w:b w:val="0"/>
          <w:sz w:val="28"/>
        </w:rPr>
        <w:t>альной помощи на основании социального контракта.</w:t>
      </w:r>
    </w:p>
    <w:p w14:paraId="6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66000000">
      <w:pPr>
        <w:numPr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</w:t>
      </w:r>
      <w:r>
        <w:rPr>
          <w:rFonts w:ascii="Times New Roman" w:hAnsi="Times New Roman"/>
          <w:b w:val="0"/>
          <w:sz w:val="28"/>
        </w:rPr>
        <w:t xml:space="preserve">ок </w:t>
      </w:r>
      <w:r>
        <w:rPr>
          <w:rFonts w:ascii="Times New Roman" w:hAnsi="Times New Roman"/>
          <w:b w:val="0"/>
          <w:sz w:val="28"/>
        </w:rPr>
        <w:t>рассмотрения заявлений о назначении</w:t>
      </w:r>
    </w:p>
    <w:p w14:paraId="67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государственной социальной помощи на основании социального</w:t>
      </w:r>
    </w:p>
    <w:p w14:paraId="68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контракта</w:t>
      </w:r>
    </w:p>
    <w:p w14:paraId="69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 Заявление о назначени</w:t>
      </w:r>
      <w:r>
        <w:rPr>
          <w:rFonts w:ascii="Times New Roman" w:hAnsi="Times New Roman"/>
          <w:b w:val="0"/>
          <w:sz w:val="28"/>
        </w:rPr>
        <w:t>и и прилагаемые к нему документы, в том числе бизнес-план или смета расходов, представляются для рассмотрения Комиссией органом местного самоуправления, к компетенции которого относятся вопросы социальной защиты населения (далее – уполномоченный орган).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Заседания Комиссии проводятся в форме открытых заседаний по мере необходимости.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Техническое обеспечение деятельности Комиссии осуществляется уполномоченным органом.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Руководит деятельностью Комиссии и определяет дату и время проведения ее заседаний Председатель Комиссии, а при его отсутствии – заместитель Председателя Комиссии.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Заседания Комиссии являются правомочными, если на заседании Комиссии присутствуют не менее половины от общего числа членов комиссии.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председательствующего на заседании Комиссии.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Решение Комиссии оформляется протоколом, подписывается Председателем Комиссии, а при его отсутствии – заместителем Председателя Комиссии.</w:t>
      </w:r>
    </w:p>
    <w:p w14:paraId="71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».</w:t>
      </w: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4_ch"/>
    <w:link w:val="Style_11"/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4_ch"/>
    <w:link w:val="Style_17"/>
    <w:rPr>
      <w:rFonts w:ascii="Times New Roman" w:hAnsi="Times New Roman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10" Target="numbering.xml" Type="http://schemas.openxmlformats.org/officeDocument/2006/relationships/numbering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2024-09-11T06:51:34Z</dcterms:modified>
</cp:coreProperties>
</file>