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6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598"/>
                <wp:lineTo x="20601" y="20598"/>
                <wp:lineTo x="20601" y="0"/>
                <wp:lineTo x="-317" y="0"/>
              </wp:wrapPolygon>
            </wp:wrapTight>
            <wp:docPr id="1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ЖИЛИЩНО-КОММУНАЛЬНОГО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ХОЗЯЙСТВА И ЭНЕРГЕТИКИ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705" w:hRule="atLeast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 внесении изменений в приложение к приказу Министерства жилищно- 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Елизовского муниципального района Камчатского края»</w:t>
            </w:r>
          </w:p>
        </w:tc>
      </w:tr>
    </w:tbl>
    <w:p>
      <w:pPr>
        <w:pStyle w:val="Normal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</w:r>
    </w:p>
    <w:p>
      <w:pPr>
        <w:pStyle w:val="Normal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>В соответствии с подпунктом «а» пункта 16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доме, утвержденных постановлением Правительства Российской Федерации от 23.05.2006 № 306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 w:left="0" w:right="0"/>
        <w:jc w:val="both"/>
        <w:rPr/>
      </w:pPr>
      <w:r>
        <w:rPr>
          <w:rFonts w:ascii="Times New Roman" w:hAnsi="Times New Roman"/>
          <w:sz w:val="28"/>
        </w:rPr>
        <w:t xml:space="preserve">1. Внести в приложение к приказу Министерства жилищно-коммунального хозяйства и энергетики Камчатского края </w:t>
      </w:r>
      <w:r>
        <w:rPr>
          <w:rFonts w:ascii="Times New Roman" w:hAnsi="Times New Roman"/>
          <w:b w:val="false"/>
          <w:bCs w:val="false"/>
          <w:color w:val="000000"/>
          <w:spacing w:val="0"/>
          <w:w w:val="100"/>
          <w:kern w:val="0"/>
          <w:sz w:val="28"/>
          <w:szCs w:val="20"/>
        </w:rPr>
        <w:t>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Елизовского муниципального района Камчатского края»</w:t>
      </w:r>
      <w:r>
        <w:rPr>
          <w:rFonts w:ascii="Times New Roman" w:hAnsi="Times New Roman"/>
          <w:b w:val="false"/>
          <w:bCs w:val="false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изменение, изложив его в редакции, согласно приложению к настоящему приказу.</w:t>
      </w:r>
    </w:p>
    <w:p>
      <w:pPr>
        <w:pStyle w:val="Normal"/>
        <w:spacing w:lineRule="auto" w:line="240" w:before="0" w:after="0"/>
        <w:ind w:firstLine="708" w:left="0" w:right="0"/>
        <w:jc w:val="both"/>
        <w:rPr/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3"/>
        <w:gridCol w:w="4406"/>
        <w:gridCol w:w="2270"/>
      </w:tblGrid>
      <w:tr>
        <w:trPr>
          <w:trHeight w:val="2220" w:hRule="atLeast"/>
        </w:trPr>
        <w:tc>
          <w:tcPr>
            <w:tcW w:w="29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А.А. Питиримов</w:t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440" w:right="851" w:gutter="0" w:header="709" w:top="1134" w:footer="0" w:bottom="79"/>
          <w:pgNumType w:fmt="decimal"/>
          <w:formProt w:val="false"/>
          <w:titlePg/>
          <w:textDirection w:val="lrTb"/>
          <w:docGrid w:type="default" w:linePitch="100" w:charSpace="0"/>
        </w:sectPr>
      </w:pP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0" w:right="-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Приложение к приказу Министерства 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0" w:right="-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жилищно-коммунального хозяйства и 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0" w:right="-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энергетики Камчатского края</w:t>
      </w:r>
    </w:p>
    <w:tbl>
      <w:tblPr>
        <w:tblStyle w:val="Style_4"/>
        <w:tblW w:w="4578" w:type="dxa"/>
        <w:jc w:val="left"/>
        <w:tblInd w:w="10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943"/>
        <w:gridCol w:w="632"/>
        <w:gridCol w:w="1514"/>
      </w:tblGrid>
      <w:tr>
        <w:trPr/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-65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[300R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GDATESAM]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60"/>
              <w:ind w:hanging="0" w:left="283" w:right="113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aps w:val="false"/>
                <w:smallCaps w:val="false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aps w:val="false"/>
                <w:smallCaps w:val="false"/>
                <w:color w:themeColor="background1" w:val="FFFFFF"/>
                <w:spacing w:val="0"/>
                <w:kern w:val="0"/>
                <w:sz w:val="16"/>
                <w:szCs w:val="20"/>
              </w:rPr>
              <w:t>EGNU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4932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4932" w:right="0"/>
        <w:jc w:val="right"/>
        <w:rPr/>
      </w:pPr>
      <w:r>
        <w:rPr>
          <w:rFonts w:ascii="Times New Roman" w:hAnsi="Times New Roman"/>
          <w:sz w:val="28"/>
        </w:rPr>
        <w:t>«Приложение к приказу Министерства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4932" w:right="0"/>
        <w:jc w:val="right"/>
        <w:rPr/>
      </w:pPr>
      <w:r>
        <w:rPr>
          <w:rFonts w:ascii="Times New Roman" w:hAnsi="Times New Roman"/>
          <w:sz w:val="28"/>
        </w:rPr>
        <w:t xml:space="preserve">жилищно-коммунального хозяйства и 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4932" w:right="0"/>
        <w:jc w:val="right"/>
        <w:rPr/>
      </w:pPr>
      <w:r>
        <w:rPr>
          <w:rFonts w:ascii="Times New Roman" w:hAnsi="Times New Roman"/>
          <w:sz w:val="28"/>
        </w:rPr>
        <w:t>энергетики Камчатского края</w:t>
      </w:r>
    </w:p>
    <w:tbl>
      <w:tblPr>
        <w:tblStyle w:val="Style_4"/>
        <w:tblW w:w="4563" w:type="dxa"/>
        <w:jc w:val="left"/>
        <w:tblInd w:w="10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926"/>
        <w:gridCol w:w="648"/>
        <w:gridCol w:w="1467"/>
      </w:tblGrid>
      <w:tr>
        <w:trPr>
          <w:trHeight w:val="362" w:hRule="atLeast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-65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30.11.2015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AMP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  <w:kern w:val="0"/>
                <w:sz w:val="28"/>
                <w:szCs w:val="20"/>
              </w:rPr>
              <w:t>595</w:t>
            </w:r>
          </w:p>
        </w:tc>
      </w:tr>
    </w:tbl>
    <w:p>
      <w:pPr>
        <w:pStyle w:val="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7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284"/>
        <w:gridCol w:w="1358"/>
        <w:gridCol w:w="1247"/>
        <w:gridCol w:w="1311"/>
        <w:gridCol w:w="1295"/>
        <w:gridCol w:w="1311"/>
        <w:gridCol w:w="1249"/>
        <w:gridCol w:w="1356"/>
        <w:gridCol w:w="1435"/>
      </w:tblGrid>
      <w:tr>
        <w:trPr>
          <w:trHeight w:val="616" w:hRule="exact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Населенный пункт</w:t>
            </w:r>
          </w:p>
        </w:tc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открытая сеть горячего водоснабжения</w:t>
            </w:r>
          </w:p>
        </w:tc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закрытая сеть горячего водоснабжения</w:t>
            </w:r>
          </w:p>
        </w:tc>
      </w:tr>
      <w:tr>
        <w:trPr>
          <w:trHeight w:val="468" w:hRule="exact"/>
        </w:trPr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3284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с изолированными стояками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с неизолированными стояками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с изолированными стояками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с неизолированными стояками</w:t>
            </w:r>
          </w:p>
        </w:tc>
      </w:tr>
      <w:tr>
        <w:trPr>
          <w:trHeight w:val="736" w:hRule="exact"/>
        </w:trPr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3284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с полотенце</w:t>
              <w:softHyphen/>
              <w:t>сушителями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без полотенце</w:t>
              <w:softHyphen/>
              <w:t>сушителей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с полотенце</w:t>
              <w:softHyphen/>
              <w:t>сушителями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без полотенце</w:t>
              <w:softHyphen/>
              <w:t>сушителей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с полотенце</w:t>
              <w:softHyphen/>
              <w:t>сушителями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без полотенце</w:t>
              <w:softHyphen/>
              <w:t>сушителей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с полотенце</w:t>
              <w:softHyphen/>
              <w:t>сушителями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без полотенце</w:t>
              <w:softHyphen/>
              <w:t>сушителей</w:t>
            </w:r>
          </w:p>
        </w:tc>
      </w:tr>
      <w:tr>
        <w:trPr>
          <w:trHeight w:val="395" w:hRule="exac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>
          <w:trHeight w:val="472" w:hRule="exac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384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</w:rPr>
              <w:t>ПАО «Камчатскэнерго»</w:t>
            </w:r>
          </w:p>
        </w:tc>
      </w:tr>
      <w:tr>
        <w:trPr>
          <w:trHeight w:val="324" w:hRule="exac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  <w:t>1.1.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color w:val="000000"/>
                <w:spacing w:val="0"/>
                <w:w w:val="100"/>
              </w:rPr>
              <w:t>Елизовское городское поселение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0,0703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0,0649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0,0704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0,0649</w:t>
            </w:r>
          </w:p>
        </w:tc>
      </w:tr>
      <w:tr>
        <w:trPr>
          <w:trHeight w:val="472" w:hRule="exac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  <w:t>1.2.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color w:val="000000"/>
                <w:spacing w:val="0"/>
                <w:w w:val="100"/>
              </w:rPr>
              <w:t>Новоавачинское сельское поселение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0,0651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0,0601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</w:tr>
      <w:tr>
        <w:trPr>
          <w:trHeight w:val="468" w:hRule="exac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28" w:before="0" w:after="0"/>
              <w:ind w:hanging="0" w:left="0" w:right="0"/>
              <w:jc w:val="center"/>
              <w:rPr/>
            </w:pPr>
            <w:r>
              <w:rPr/>
              <w:t>1.3.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28" w:before="0" w:after="0"/>
              <w:ind w:hanging="0" w:left="0" w:right="0"/>
              <w:jc w:val="left"/>
              <w:rPr/>
            </w:pPr>
            <w:r>
              <w:rPr>
                <w:color w:val="000000"/>
                <w:spacing w:val="0"/>
                <w:w w:val="100"/>
              </w:rPr>
              <w:t>Новолесновское сельское поселение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0,0579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0,0535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</w:tr>
      <w:tr>
        <w:trPr>
          <w:trHeight w:val="478" w:hRule="exac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  <w:t>1.4.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color w:val="000000"/>
                <w:spacing w:val="0"/>
                <w:w w:val="100"/>
              </w:rPr>
              <w:t>Раздольненское сельское поселение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0,0617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0,0569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</w:tr>
      <w:tr>
        <w:trPr>
          <w:trHeight w:val="611" w:hRule="exac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3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ООО «ИКС Петропавловск-Камчатский»</w:t>
            </w:r>
          </w:p>
        </w:tc>
      </w:tr>
      <w:tr>
        <w:trPr>
          <w:trHeight w:val="565" w:hRule="exac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  <w:t>2.1.</w:t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left"/>
              <w:rPr/>
            </w:pPr>
            <w:r>
              <w:rPr/>
              <w:t>Пионерское сельское поселение</w:t>
            </w:r>
          </w:p>
          <w:p>
            <w:pPr>
              <w:pStyle w:val="Style15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color w:val="C9211E"/>
              </w:rPr>
            </w:pPr>
            <w:r>
              <w:rPr>
                <w:color w:val="C9211E"/>
              </w:rPr>
              <w:t>0,0689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</w:tr>
      <w:tr>
        <w:trPr>
          <w:trHeight w:val="388" w:hRule="exac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7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8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  <w:color w:val="auto"/>
              </w:rPr>
            </w:pPr>
            <w:r>
              <w:rPr>
                <w:b w:val="false"/>
                <w:bCs w:val="false"/>
                <w:color w:val="auto"/>
              </w:rPr>
              <w:t>9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</w:t>
            </w:r>
          </w:p>
        </w:tc>
      </w:tr>
      <w:tr>
        <w:trPr>
          <w:trHeight w:val="388" w:hRule="exac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384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ООО «Полимер»</w:t>
            </w:r>
          </w:p>
        </w:tc>
      </w:tr>
      <w:tr>
        <w:trPr>
          <w:trHeight w:val="388" w:hRule="exac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  <w:t>3.1</w:t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left"/>
              <w:rPr/>
            </w:pPr>
            <w:r>
              <w:rPr/>
              <w:t>Пионерское сельское поселение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color w:val="C9211E"/>
              </w:rPr>
            </w:pPr>
            <w:r>
              <w:rPr>
                <w:color w:val="C9211E"/>
              </w:rPr>
              <w:t>0,0663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color w:val="C9211E"/>
              </w:rPr>
            </w:pPr>
            <w:r>
              <w:rPr>
                <w:color w:val="C9211E"/>
                <w:spacing w:val="0"/>
                <w:w w:val="100"/>
              </w:rPr>
              <w:t>—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color w:val="C9211E"/>
              </w:rPr>
            </w:pPr>
            <w:r>
              <w:rPr>
                <w:color w:val="C9211E"/>
                <w:spacing w:val="0"/>
                <w:w w:val="100"/>
              </w:rPr>
              <w:t>—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color w:val="C9211E"/>
              </w:rPr>
            </w:pPr>
            <w:r>
              <w:rPr>
                <w:color w:val="C9211E"/>
                <w:spacing w:val="0"/>
                <w:w w:val="100"/>
              </w:rPr>
              <w:t>—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color w:val="C9211E"/>
              </w:rPr>
            </w:pPr>
            <w:r>
              <w:rPr>
                <w:color w:val="C9211E"/>
              </w:rPr>
              <w:t>0,0689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</w:tr>
      <w:tr>
        <w:trPr>
          <w:trHeight w:val="324" w:hRule="exac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384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</w:rPr>
              <w:t>АО «Тепло Земли»</w:t>
            </w:r>
          </w:p>
        </w:tc>
      </w:tr>
      <w:tr>
        <w:trPr>
          <w:trHeight w:val="328" w:hRule="exac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  <w:t>4.1.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color w:val="000000"/>
                <w:spacing w:val="0"/>
                <w:w w:val="100"/>
              </w:rPr>
              <w:t>Паратунское сельское поселение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0,0666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</w:tr>
      <w:tr>
        <w:trPr>
          <w:trHeight w:val="318" w:hRule="exac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384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</w:rPr>
              <w:t>ФГКУ «Камчатский спасательный центр МЧС России»</w:t>
            </w:r>
          </w:p>
        </w:tc>
      </w:tr>
      <w:tr>
        <w:trPr>
          <w:trHeight w:val="529" w:hRule="exac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  <w:t>5.1.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color w:val="000000"/>
                <w:spacing w:val="0"/>
                <w:w w:val="100"/>
              </w:rPr>
              <w:t>Раздольненское сельское поселение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0,0556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</w:tr>
      <w:tr>
        <w:trPr>
          <w:trHeight w:val="529" w:hRule="exac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</w:rPr>
              <w:t>АО «Камчатэнергосервис»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>
          <w:trHeight w:val="529" w:hRule="exac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  <w:t>6.1.</w:t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color w:val="000000"/>
                <w:spacing w:val="0"/>
                <w:w w:val="100"/>
              </w:rPr>
              <w:t>Николаевское сельское поселение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0,0582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0,0537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</w:tr>
      <w:tr>
        <w:trPr>
          <w:trHeight w:val="529" w:hRule="exac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</w:rPr>
              <w:t>ООО «Коряктеплоснаб»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>
          <w:trHeight w:val="529" w:hRule="exac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  <w:t>7.1.</w:t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color w:val="000000"/>
                <w:spacing w:val="0"/>
                <w:w w:val="100"/>
              </w:rPr>
              <w:t>Корякское сельское поселение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0,0546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</w:tr>
      <w:tr>
        <w:trPr>
          <w:trHeight w:val="529" w:hRule="exac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</w:rPr>
              <w:t>МУП «МП ЖКХ ксп»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>
          <w:trHeight w:val="529" w:hRule="exac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  <w:t>8.1.</w:t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color w:val="000000"/>
                <w:spacing w:val="0"/>
                <w:w w:val="100"/>
              </w:rPr>
              <w:t>Корякское сельское поселение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0,0563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w w:val="100"/>
              </w:rPr>
              <w:t>—</w:t>
            </w:r>
          </w:p>
        </w:tc>
      </w:tr>
    </w:tbl>
    <w:p>
      <w:pPr>
        <w:pStyle w:val="Normal"/>
        <w:spacing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».</w:t>
      </w:r>
    </w:p>
    <w:sectPr>
      <w:headerReference w:type="even" r:id="rId6"/>
      <w:headerReference w:type="default" r:id="rId7"/>
      <w:headerReference w:type="first" r:id="rId8"/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2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237.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3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37.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635" simplePos="0" locked="0" layoutInCell="0" allowOverlap="1" relativeHeight="4">
              <wp:simplePos x="0" y="0"/>
              <wp:positionH relativeFrom="margin">
                <wp:posOffset>2856230</wp:posOffset>
              </wp:positionH>
              <wp:positionV relativeFrom="paragraph">
                <wp:posOffset>635</wp:posOffset>
              </wp:positionV>
              <wp:extent cx="222250" cy="169545"/>
              <wp:effectExtent l="0" t="0" r="0" b="0"/>
              <wp:wrapSquare wrapText="bothSides"/>
              <wp:docPr id="4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12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path="m0,0l-2147483645,0l-2147483645,-2147483646l0,-2147483646xe" stroked="f" o:allowincell="f" style="position:absolute;margin-left:224.9pt;margin-top:0.05pt;width:17.45pt;height:13.3pt;mso-wrap-style:square;v-text-anchor:top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5" name="Pictur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3" path="m0,0l-2147483645,0l-2147483645,-2147483646l0,-2147483646xe" stroked="f" o:allowincell="f" style="position:absolute;margin-left:-0.05pt;margin-top:0.05pt;width:5.6pt;height:13.3pt;mso-wrap-style:none;v-text-anchor:middle;mso-position-horizontal:lef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64" w:before="0" w:after="160"/>
      <w:ind w:hanging="0" w:left="0" w:right="0"/>
      <w:jc w:val="left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64" w:before="0" w:after="160"/>
      <w:ind w:hanging="0" w:left="0" w:right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2">
    <w:name w:val="Contents 2"/>
    <w:link w:val="Contents21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link w:val="Contents41"/>
    <w:qFormat/>
    <w:rPr>
      <w:rFonts w:ascii="XO Thames" w:hAnsi="XO Thames"/>
      <w:color w:val="000000"/>
      <w:spacing w:val="0"/>
      <w:sz w:val="28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er1">
    <w:name w:val="Header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6">
    <w:name w:val="Contents 6"/>
    <w:link w:val="Contents61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link w:val="Contents71"/>
    <w:qFormat/>
    <w:rPr>
      <w:rFonts w:ascii="XO Thames" w:hAnsi="XO Thames"/>
      <w:color w:val="000000"/>
      <w:spacing w:val="0"/>
      <w:sz w:val="28"/>
    </w:rPr>
  </w:style>
  <w:style w:type="character" w:styleId="Caption1">
    <w:name w:val="Caption1"/>
    <w:qFormat/>
    <w:rPr>
      <w:i/>
      <w:sz w:val="24"/>
    </w:rPr>
  </w:style>
  <w:style w:type="character" w:styleId="Textbody">
    <w:name w:val="Text body"/>
    <w:link w:val="Textbody1"/>
    <w:qFormat/>
    <w:rPr/>
  </w:style>
  <w:style w:type="character" w:styleId="Endnote">
    <w:name w:val="Endnote"/>
    <w:link w:val="Endnote1"/>
    <w:qFormat/>
    <w:rPr>
      <w:rFonts w:ascii="XO Thames" w:hAnsi="XO Thames"/>
      <w:color w:val="000000"/>
      <w:spacing w:val="0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Style9">
    <w:name w:val="Содержимое врезки"/>
    <w:link w:val="110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Style10">
    <w:name w:val="Колонтитул"/>
    <w:link w:val="12"/>
    <w:qFormat/>
    <w:rPr>
      <w:rFonts w:ascii="XO Thames" w:hAnsi="XO Thames"/>
      <w:color w:val="000000"/>
      <w:spacing w:val="0"/>
      <w:sz w:val="20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Style11">
    <w:name w:val="Указатель"/>
    <w:link w:val="1111111111111111111112"/>
    <w:qFormat/>
    <w:rPr/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Contents3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Internetlink">
    <w:name w:val="Internet link"/>
    <w:basedOn w:val="DefaultParagraphFont"/>
    <w:link w:val="Internetlink1"/>
    <w:qFormat/>
    <w:rPr>
      <w:color w:themeColor="hyperlink" w:val="0563C1"/>
      <w:u w:val="single"/>
    </w:rPr>
  </w:style>
  <w:style w:type="character" w:styleId="List1">
    <w:name w:val="List1"/>
    <w:basedOn w:val="Textbody"/>
    <w:qFormat/>
    <w:rPr/>
  </w:style>
  <w:style w:type="character" w:styleId="Style12">
    <w:name w:val="Заголовок"/>
    <w:link w:val="1111111111111111111111"/>
    <w:qFormat/>
    <w:rPr>
      <w:rFonts w:ascii="Liberation Sans" w:hAnsi="Liberation San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Footer1">
    <w:name w:val="Footer1"/>
    <w:qFormat/>
    <w:rPr>
      <w:rFonts w:ascii="Times New Roman" w:hAnsi="Times New Roman"/>
      <w:color w:val="000000"/>
      <w:spacing w:val="0"/>
      <w:sz w:val="28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paragraph" w:styleId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/>
    <w:rPr/>
  </w:style>
  <w:style w:type="paragraph" w:styleId="Caption">
    <w:name w:val="Caption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">
    <w:name w:val="Указатель1"/>
    <w:basedOn w:val="Normal"/>
    <w:qFormat/>
    <w:pPr>
      <w:suppressLineNumbers/>
    </w:pPr>
    <w:rPr>
      <w:rFonts w:cs="Arial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2">
    <w:name w:val="Указатель11"/>
    <w:basedOn w:val="Normal"/>
    <w:qFormat/>
    <w:pPr>
      <w:suppressLineNumbers/>
    </w:pPr>
    <w:rPr>
      <w:rFonts w:cs="Arial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2">
    <w:name w:val="Указатель111"/>
    <w:basedOn w:val="Normal"/>
    <w:qFormat/>
    <w:pPr>
      <w:suppressLineNumbers/>
    </w:pPr>
    <w:rPr>
      <w:rFonts w:cs="Arial"/>
    </w:rPr>
  </w:style>
  <w:style w:type="paragraph" w:styleId="11111">
    <w:name w:val="Заголовок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2">
    <w:name w:val="Указатель1111"/>
    <w:basedOn w:val="Normal"/>
    <w:qFormat/>
    <w:pPr>
      <w:suppressLineNumbers/>
    </w:pPr>
    <w:rPr>
      <w:rFonts w:cs="Arial"/>
    </w:rPr>
  </w:style>
  <w:style w:type="paragraph" w:styleId="111111">
    <w:name w:val="Заголовок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2">
    <w:name w:val="Указатель11111"/>
    <w:basedOn w:val="Normal"/>
    <w:qFormat/>
    <w:pPr>
      <w:suppressLineNumbers/>
    </w:pPr>
    <w:rPr>
      <w:rFonts w:cs="Arial"/>
    </w:rPr>
  </w:style>
  <w:style w:type="paragraph" w:styleId="1111111">
    <w:name w:val="Заголовок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2">
    <w:name w:val="Указатель111111"/>
    <w:basedOn w:val="Normal"/>
    <w:qFormat/>
    <w:pPr>
      <w:suppressLineNumbers/>
    </w:pPr>
    <w:rPr>
      <w:rFonts w:cs="Arial"/>
    </w:rPr>
  </w:style>
  <w:style w:type="paragraph" w:styleId="11111111">
    <w:name w:val="Заголовок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2">
    <w:name w:val="Указатель1111111"/>
    <w:basedOn w:val="Normal"/>
    <w:qFormat/>
    <w:pPr>
      <w:suppressLineNumbers/>
    </w:pPr>
    <w:rPr>
      <w:rFonts w:cs="Arial"/>
    </w:rPr>
  </w:style>
  <w:style w:type="paragraph" w:styleId="111111111">
    <w:name w:val="Заголовок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2">
    <w:name w:val="Указатель11111111"/>
    <w:basedOn w:val="Normal"/>
    <w:qFormat/>
    <w:pPr>
      <w:suppressLineNumbers/>
    </w:pPr>
    <w:rPr>
      <w:rFonts w:cs="Arial"/>
    </w:rPr>
  </w:style>
  <w:style w:type="paragraph" w:styleId="1111111111">
    <w:name w:val="Заголовок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2">
    <w:name w:val="Указатель111111111"/>
    <w:basedOn w:val="Normal"/>
    <w:qFormat/>
    <w:pPr>
      <w:suppressLineNumbers/>
    </w:pPr>
    <w:rPr>
      <w:rFonts w:cs="Arial"/>
    </w:rPr>
  </w:style>
  <w:style w:type="paragraph" w:styleId="11111111111">
    <w:name w:val="Заголовок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2">
    <w:name w:val="Указатель1111111111"/>
    <w:basedOn w:val="Normal"/>
    <w:qFormat/>
    <w:pPr>
      <w:suppressLineNumbers/>
    </w:pPr>
    <w:rPr>
      <w:rFonts w:cs="Arial"/>
    </w:rPr>
  </w:style>
  <w:style w:type="paragraph" w:styleId="111111111111">
    <w:name w:val="Заголовок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2">
    <w:name w:val="Указатель11111111111"/>
    <w:basedOn w:val="Normal"/>
    <w:qFormat/>
    <w:pPr>
      <w:suppressLineNumbers/>
    </w:pPr>
    <w:rPr>
      <w:rFonts w:cs="Arial"/>
    </w:rPr>
  </w:style>
  <w:style w:type="paragraph" w:styleId="1111111111111">
    <w:name w:val="Заголовок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2">
    <w:name w:val="Указатель111111111111"/>
    <w:basedOn w:val="Normal"/>
    <w:qFormat/>
    <w:pPr>
      <w:suppressLineNumbers/>
    </w:pPr>
    <w:rPr>
      <w:rFonts w:cs="Arial"/>
    </w:rPr>
  </w:style>
  <w:style w:type="paragraph" w:styleId="11111111111111">
    <w:name w:val="Заголовок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2">
    <w:name w:val="Указатель1111111111111"/>
    <w:basedOn w:val="Normal"/>
    <w:qFormat/>
    <w:pPr>
      <w:suppressLineNumbers/>
    </w:pPr>
    <w:rPr>
      <w:rFonts w:cs="Arial"/>
    </w:rPr>
  </w:style>
  <w:style w:type="paragraph" w:styleId="111111111111111">
    <w:name w:val="Заголовок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12">
    <w:name w:val="Указатель11111111111111"/>
    <w:basedOn w:val="Normal"/>
    <w:qFormat/>
    <w:pPr>
      <w:suppressLineNumbers/>
    </w:pPr>
    <w:rPr>
      <w:rFonts w:cs="Arial"/>
    </w:rPr>
  </w:style>
  <w:style w:type="paragraph" w:styleId="1111111111111111">
    <w:name w:val="Заголовок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112">
    <w:name w:val="Указатель111111111111111"/>
    <w:basedOn w:val="Normal"/>
    <w:qFormat/>
    <w:pPr>
      <w:suppressLineNumbers/>
    </w:pPr>
    <w:rPr>
      <w:rFonts w:cs="Arial"/>
    </w:rPr>
  </w:style>
  <w:style w:type="paragraph" w:styleId="11111111111111111">
    <w:name w:val="Заголовок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1112">
    <w:name w:val="Указатель1111111111111111"/>
    <w:basedOn w:val="Normal"/>
    <w:qFormat/>
    <w:pPr>
      <w:suppressLineNumbers/>
    </w:pPr>
    <w:rPr>
      <w:rFonts w:cs="Arial"/>
    </w:rPr>
  </w:style>
  <w:style w:type="paragraph" w:styleId="111111111111111111">
    <w:name w:val="Заголовок1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11112">
    <w:name w:val="Указатель11111111111111111"/>
    <w:basedOn w:val="Normal"/>
    <w:qFormat/>
    <w:pPr>
      <w:suppressLineNumbers/>
    </w:pPr>
    <w:rPr>
      <w:rFonts w:cs="Arial"/>
    </w:rPr>
  </w:style>
  <w:style w:type="paragraph" w:styleId="1111111111111111111">
    <w:name w:val="Заголовок11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111112">
    <w:name w:val="Указатель111111111111111111"/>
    <w:basedOn w:val="Normal"/>
    <w:qFormat/>
    <w:pPr>
      <w:suppressLineNumbers/>
    </w:pPr>
    <w:rPr>
      <w:rFonts w:cs="Arial"/>
    </w:rPr>
  </w:style>
  <w:style w:type="paragraph" w:styleId="11111111111111111111">
    <w:name w:val="Заголовок111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1111112">
    <w:name w:val="Указатель1111111111111111111"/>
    <w:basedOn w:val="Normal"/>
    <w:qFormat/>
    <w:pPr>
      <w:suppressLineNumbers/>
    </w:pPr>
    <w:rPr>
      <w:rFonts w:cs="Arial"/>
    </w:rPr>
  </w:style>
  <w:style w:type="paragraph" w:styleId="111111111111111111111">
    <w:name w:val="Заголовок1111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11111112">
    <w:name w:val="Указатель11111111111111111111"/>
    <w:basedOn w:val="Normal"/>
    <w:qFormat/>
    <w:pPr>
      <w:suppressLineNumbers/>
    </w:pPr>
    <w:rPr>
      <w:rFonts w:cs="Arial"/>
    </w:rPr>
  </w:style>
  <w:style w:type="paragraph" w:styleId="1111111111111111111111">
    <w:name w:val="Заголовок111111111111111111111"/>
    <w:basedOn w:val="Normal"/>
    <w:next w:val="BodyText"/>
    <w:link w:val="Style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111111111111111112">
    <w:name w:val="Указатель111111111111111111111"/>
    <w:basedOn w:val="Normal"/>
    <w:link w:val="Style11"/>
    <w:qFormat/>
    <w:pPr/>
    <w:rPr/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1"/>
    <w:link w:val="Contents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2">
    <w:name w:val="Колонтитул1"/>
    <w:link w:val="Style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">
    <w:name w:val="Колонтитул2"/>
    <w:basedOn w:val="Normal"/>
    <w:qFormat/>
    <w:pPr/>
    <w:rPr/>
  </w:style>
  <w:style w:type="paragraph" w:styleId="3">
    <w:name w:val="Колонтитул3"/>
    <w:basedOn w:val="Normal"/>
    <w:qFormat/>
    <w:pPr/>
    <w:rPr/>
  </w:style>
  <w:style w:type="paragraph" w:styleId="4">
    <w:name w:val="Колонтитул4"/>
    <w:basedOn w:val="Normal"/>
    <w:qFormat/>
    <w:pPr/>
    <w:rPr/>
  </w:style>
  <w:style w:type="paragraph" w:styleId="5">
    <w:name w:val="Колонтитул5"/>
    <w:basedOn w:val="Normal"/>
    <w:qFormat/>
    <w:pPr/>
    <w:rPr/>
  </w:style>
  <w:style w:type="paragraph" w:styleId="6">
    <w:name w:val="Колонтитул6"/>
    <w:basedOn w:val="Normal"/>
    <w:qFormat/>
    <w:pPr/>
    <w:rPr/>
  </w:style>
  <w:style w:type="paragraph" w:styleId="7">
    <w:name w:val="Колонтитул7"/>
    <w:basedOn w:val="Normal"/>
    <w:qFormat/>
    <w:pPr/>
    <w:rPr/>
  </w:style>
  <w:style w:type="paragraph" w:styleId="8">
    <w:name w:val="Колонтитул8"/>
    <w:basedOn w:val="Normal"/>
    <w:qFormat/>
    <w:pPr/>
    <w:rPr/>
  </w:style>
  <w:style w:type="paragraph" w:styleId="9">
    <w:name w:val="Колонтитул9"/>
    <w:basedOn w:val="Normal"/>
    <w:qFormat/>
    <w:pPr/>
    <w:rPr/>
  </w:style>
  <w:style w:type="paragraph" w:styleId="10">
    <w:name w:val="Колонтитул10"/>
    <w:basedOn w:val="Normal"/>
    <w:qFormat/>
    <w:pPr/>
    <w:rPr/>
  </w:style>
  <w:style w:type="paragraph" w:styleId="113">
    <w:name w:val="Колонтитул11"/>
    <w:basedOn w:val="Normal"/>
    <w:qFormat/>
    <w:pPr/>
    <w:rPr/>
  </w:style>
  <w:style w:type="paragraph" w:styleId="121">
    <w:name w:val="Колонтитул12"/>
    <w:basedOn w:val="Normal"/>
    <w:qFormat/>
    <w:pPr/>
    <w:rPr/>
  </w:style>
  <w:style w:type="paragraph" w:styleId="13">
    <w:name w:val="Колонтитул13"/>
    <w:basedOn w:val="Normal"/>
    <w:qFormat/>
    <w:pPr/>
    <w:rPr/>
  </w:style>
  <w:style w:type="paragraph" w:styleId="14">
    <w:name w:val="Колонтитул14"/>
    <w:basedOn w:val="Normal"/>
    <w:qFormat/>
    <w:pPr/>
    <w:rPr/>
  </w:style>
  <w:style w:type="paragraph" w:styleId="15">
    <w:name w:val="Колонтитул15"/>
    <w:basedOn w:val="Normal"/>
    <w:qFormat/>
    <w:pPr/>
    <w:rPr/>
  </w:style>
  <w:style w:type="paragraph" w:styleId="16">
    <w:name w:val="Колонтитул16"/>
    <w:basedOn w:val="Normal"/>
    <w:qFormat/>
    <w:pPr/>
    <w:rPr/>
  </w:style>
  <w:style w:type="paragraph" w:styleId="17">
    <w:name w:val="Колонтитул17"/>
    <w:basedOn w:val="Normal"/>
    <w:qFormat/>
    <w:pPr/>
    <w:rPr/>
  </w:style>
  <w:style w:type="paragraph" w:styleId="18">
    <w:name w:val="Колонтитул18"/>
    <w:basedOn w:val="Normal"/>
    <w:qFormat/>
    <w:pPr/>
    <w:rPr/>
  </w:style>
  <w:style w:type="paragraph" w:styleId="19">
    <w:name w:val="Колонтитул19"/>
    <w:basedOn w:val="Normal"/>
    <w:qFormat/>
    <w:pPr/>
    <w:rPr/>
  </w:style>
  <w:style w:type="paragraph" w:styleId="20">
    <w:name w:val="Колонтитул20"/>
    <w:basedOn w:val="Normal"/>
    <w:qFormat/>
    <w:pPr/>
    <w:rPr/>
  </w:style>
  <w:style w:type="paragraph" w:styleId="21">
    <w:name w:val="Колонтитул21"/>
    <w:basedOn w:val="Normal"/>
    <w:qFormat/>
    <w:pPr/>
    <w:rPr/>
  </w:style>
  <w:style w:type="paragraph" w:styleId="Header">
    <w:name w:val="Head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1"/>
    <w:link w:val="Contents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">
    <w:name w:val="Text body1"/>
    <w:link w:val="Textbody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0">
    <w:name w:val="Содержимое врезки1"/>
    <w:basedOn w:val="Normal"/>
    <w:link w:val="Style9"/>
    <w:qFormat/>
    <w:pPr/>
    <w:rPr/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71">
    <w:name w:val="Contents 71"/>
    <w:link w:val="Contents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">
    <w:name w:val="Contents 11"/>
    <w:link w:val="Content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basedOn w:val="DefaultParagraphFont1"/>
    <w:link w:val="Internetlink"/>
    <w:qFormat/>
    <w:pPr/>
    <w:rPr>
      <w:color w:themeColor="hyperlink" w:val="0563C1"/>
      <w:u w:val="single"/>
    </w:rPr>
  </w:style>
  <w:style w:type="paragraph" w:styleId="Contents21">
    <w:name w:val="Contents 21"/>
    <w:link w:val="Contents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">
    <w:name w:val="Contents 91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Contents 51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Contents31">
    <w:name w:val="Contents 31"/>
    <w:link w:val="Contents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1"/>
    <w:link w:val="Contents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">
    <w:name w:val="List Paragraph"/>
    <w:basedOn w:val="Normal"/>
    <w:qFormat/>
    <w:pPr>
      <w:widowControl w:val="false"/>
      <w:spacing w:lineRule="auto" w:line="240" w:before="0" w:after="0"/>
      <w:ind w:firstLine="720" w:left="720"/>
      <w:contextualSpacing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22">
    <w:name w:val="Содержимое врезки2"/>
    <w:basedOn w:val="Normal"/>
    <w:qFormat/>
    <w:pPr/>
    <w:rPr/>
  </w:style>
  <w:style w:type="paragraph" w:styleId="31">
    <w:name w:val="Содержимое врезки3"/>
    <w:basedOn w:val="Normal"/>
    <w:qFormat/>
    <w:pPr/>
    <w:rPr/>
  </w:style>
  <w:style w:type="paragraph" w:styleId="Style13">
    <w:name w:val="Содержимое таблицы"/>
    <w:basedOn w:val="Normal"/>
    <w:qFormat/>
    <w:pPr>
      <w:widowControl w:val="false"/>
      <w:suppressLineNumbers/>
    </w:pPr>
    <w:rPr/>
  </w:style>
  <w:style w:type="paragraph" w:styleId="Style14">
    <w:name w:val="Заголовок таблицы"/>
    <w:basedOn w:val="Style13"/>
    <w:qFormat/>
    <w:pPr>
      <w:suppressLineNumbers/>
      <w:jc w:val="center"/>
    </w:pPr>
    <w:rPr>
      <w:b/>
      <w:bCs/>
    </w:rPr>
  </w:style>
  <w:style w:type="paragraph" w:styleId="41">
    <w:name w:val="Содержимое врезки4"/>
    <w:basedOn w:val="Normal"/>
    <w:qFormat/>
    <w:pPr/>
    <w:rPr/>
  </w:style>
  <w:style w:type="paragraph" w:styleId="51">
    <w:name w:val="Содержимое врезки5"/>
    <w:basedOn w:val="Normal"/>
    <w:qFormat/>
    <w:pPr/>
    <w:rPr/>
  </w:style>
  <w:style w:type="paragraph" w:styleId="61">
    <w:name w:val="Содержимое врезки6"/>
    <w:basedOn w:val="Normal"/>
    <w:qFormat/>
    <w:pPr/>
    <w:rPr/>
  </w:style>
  <w:style w:type="paragraph" w:styleId="71">
    <w:name w:val="Содержимое врезки7"/>
    <w:basedOn w:val="Normal"/>
    <w:qFormat/>
    <w:pPr/>
    <w:rPr/>
  </w:style>
  <w:style w:type="paragraph" w:styleId="81">
    <w:name w:val="Содержимое врезки8"/>
    <w:basedOn w:val="Normal"/>
    <w:qFormat/>
    <w:pPr/>
    <w:rPr/>
  </w:style>
  <w:style w:type="paragraph" w:styleId="91">
    <w:name w:val="Содержимое врезки9"/>
    <w:basedOn w:val="Normal"/>
    <w:qFormat/>
    <w:pPr/>
    <w:rPr/>
  </w:style>
  <w:style w:type="paragraph" w:styleId="101">
    <w:name w:val="Содержимое врезки10"/>
    <w:basedOn w:val="Normal"/>
    <w:qFormat/>
    <w:pPr/>
    <w:rPr/>
  </w:style>
  <w:style w:type="paragraph" w:styleId="114">
    <w:name w:val="Содержимое врезки11"/>
    <w:basedOn w:val="Normal"/>
    <w:qFormat/>
    <w:pPr/>
    <w:rPr/>
  </w:style>
  <w:style w:type="paragraph" w:styleId="122">
    <w:name w:val="Содержимое врезки12"/>
    <w:basedOn w:val="Normal"/>
    <w:qFormat/>
    <w:pPr/>
    <w:rPr/>
  </w:style>
  <w:style w:type="paragraph" w:styleId="131">
    <w:name w:val="Содержимое врезки13"/>
    <w:basedOn w:val="Normal"/>
    <w:qFormat/>
    <w:pPr/>
    <w:rPr/>
  </w:style>
  <w:style w:type="paragraph" w:styleId="141">
    <w:name w:val="Содержимое врезки14"/>
    <w:basedOn w:val="Normal"/>
    <w:qFormat/>
    <w:pPr/>
    <w:rPr/>
  </w:style>
  <w:style w:type="paragraph" w:styleId="151">
    <w:name w:val="Содержимое врезки15"/>
    <w:basedOn w:val="Normal"/>
    <w:qFormat/>
    <w:pPr/>
    <w:rPr/>
  </w:style>
  <w:style w:type="paragraph" w:styleId="161">
    <w:name w:val="Содержимое врезки16"/>
    <w:basedOn w:val="Normal"/>
    <w:qFormat/>
    <w:pPr/>
    <w:rPr/>
  </w:style>
  <w:style w:type="paragraph" w:styleId="171">
    <w:name w:val="Содержимое врезки17"/>
    <w:basedOn w:val="Normal"/>
    <w:qFormat/>
    <w:pPr/>
    <w:rPr/>
  </w:style>
  <w:style w:type="paragraph" w:styleId="181">
    <w:name w:val="Содержимое врезки18"/>
    <w:basedOn w:val="Normal"/>
    <w:qFormat/>
    <w:pPr/>
    <w:rPr/>
  </w:style>
  <w:style w:type="paragraph" w:styleId="191">
    <w:name w:val="Содержимое врезки19"/>
    <w:basedOn w:val="Normal"/>
    <w:qFormat/>
    <w:pPr/>
    <w:rPr/>
  </w:style>
  <w:style w:type="paragraph" w:styleId="Style15">
    <w:name w:val="Другое"/>
    <w:basedOn w:val="Normal"/>
    <w:qFormat/>
    <w:pPr>
      <w:widowControl w:val="false"/>
      <w:shd w:val="clear" w:color="auto" w:fill="auto"/>
      <w:jc w:val="center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</w:rPr>
  </w:style>
  <w:style w:type="paragraph" w:styleId="201">
    <w:name w:val="Содержимое врезки20"/>
    <w:basedOn w:val="Normal"/>
    <w:qFormat/>
    <w:pPr/>
    <w:rPr/>
  </w:style>
  <w:style w:type="paragraph" w:styleId="211">
    <w:name w:val="Содержимое врезки21"/>
    <w:basedOn w:val="Normal"/>
    <w:qFormat/>
    <w:pPr/>
    <w:rPr/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58">
    <w:name w:val="Сетка таблицы2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9">
    <w:name w:val="Сетка таблицы1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4">
    <w:name w:val="Table Grid"/>
    <w:basedOn w:val="Style_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Application>LibreOffice/24.2.3.2$Windows_X86_64 LibreOffice_project/433d9c2ded56988e8a90e6b2e771ee4e6a5ab2ba</Application>
  <AppVersion>15.0000</AppVersion>
  <Pages>3</Pages>
  <Words>362</Words>
  <Characters>2648</Characters>
  <CharactersWithSpaces>2894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2024-05-17T09:40:32Z</cp:lastPrinted>
  <dcterms:modified xsi:type="dcterms:W3CDTF">2024-09-09T09:44:15Z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