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Пояснительная записка</w:t>
      </w:r>
    </w:p>
    <w:p>
      <w:pPr>
        <w:pStyle w:val="Normal"/>
        <w:jc w:val="center"/>
        <w:rPr/>
      </w:pPr>
      <w:r>
        <w:rPr/>
        <w:t>к проекту постановления Правительства Камчатского края</w:t>
      </w:r>
    </w:p>
    <w:p>
      <w:pPr>
        <w:pStyle w:val="Normal"/>
        <w:jc w:val="center"/>
        <w:rPr/>
      </w:pPr>
      <w:r>
        <w:rPr/>
        <w:t>«Об утверждении Перечня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уровня»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9" w:left="0" w:right="0"/>
        <w:jc w:val="both"/>
        <w:rPr/>
      </w:pPr>
      <w:r>
        <w:rPr/>
        <w:t xml:space="preserve">Настоящий проект постановления Правительства Камчатского края разработан в соответствии с пунктом 1 статьи 6, подпунктом 1 статьи 12 Федерального закона от 23.11.1995 № 174-ФЗ «Об экологической экспертизе» (далее – Федеральный закон № 174-ФЗ, проект постановления) с учетом изменений, внесенных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другую», вступивших в силу с 01.09.2024. </w:t>
      </w:r>
    </w:p>
    <w:p>
      <w:pPr>
        <w:pStyle w:val="Normal"/>
        <w:ind w:firstLine="709" w:left="0" w:right="0"/>
        <w:jc w:val="both"/>
        <w:rPr/>
      </w:pPr>
      <w:r>
        <w:rPr/>
        <w:t xml:space="preserve">В соответствии с подпунктом 1 статьи 12 Федерального закона № 174-ФЗ объектом государственной экологической экспертизы регионального уровня являются проекты документов в области охраны окружающей среды и природопользования, утверждаемые органами государственной власти субъектов Российской Федерации, перечень которых устанавливается высшим должностным лицом субъекта Российской Федерации или руководителем высшего исполнительного органа государственной власти субъекта </w:t>
        <w:br/>
        <w:t>Российской Федерации (далее – Перечень).</w:t>
      </w:r>
    </w:p>
    <w:p>
      <w:pPr>
        <w:pStyle w:val="Normal"/>
        <w:ind w:firstLine="709" w:left="0" w:right="0"/>
        <w:jc w:val="both"/>
        <w:rPr/>
      </w:pPr>
      <w:r>
        <w:rPr/>
        <w:t>Пунктом 1 Перечня устанавливаются пределы применения нормы, предусмотренной статьей 12 Федерального закона № 174-ФЗ, а именно «</w:t>
      </w:r>
      <w:r>
        <w:rPr>
          <w:b w:val="false"/>
          <w:sz w:val="28"/>
        </w:rPr>
        <w:t>в границах особо охраняемых природных территорий регионального значения».</w:t>
      </w:r>
    </w:p>
    <w:p>
      <w:pPr>
        <w:pStyle w:val="Normal"/>
        <w:ind w:firstLine="709" w:left="0" w:right="0"/>
        <w:jc w:val="both"/>
        <w:rPr>
          <w:b w:val="false"/>
        </w:rPr>
      </w:pPr>
      <w:r>
        <w:rPr/>
        <w:t xml:space="preserve">Кроме прямо предусмотренных статьей 12 Федерального закона № 174-ФЗ, абзацем вторым статьи 20 Федерального закона от 24.04.1995 </w:t>
        <w:br/>
        <w:t xml:space="preserve">№ 52-ФЗ «О животном мире», пунктом 15 </w:t>
      </w:r>
      <w:r>
        <w:rPr>
          <w:b w:val="false"/>
        </w:rPr>
        <w:t xml:space="preserve">Приказа Минприроды России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 </w:t>
      </w:r>
      <w:r>
        <w:rPr/>
        <w:t xml:space="preserve">объектов государственной экологической экспертизы регионального уровня, в Перечень включены следующие объекты: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b w:val="false"/>
          <w:sz w:val="28"/>
        </w:rPr>
        <w:t xml:space="preserve">- 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ООПТ регионального значения с учетом режима их особой охраны, за исключением объектов, указанных в подпунктах 1 и 2 пункта 1 статьи 11 Федерального закона </w:t>
      </w:r>
      <w:r>
        <w:rPr/>
        <w:br/>
      </w:r>
      <w:r>
        <w:rPr>
          <w:b w:val="false"/>
          <w:sz w:val="28"/>
        </w:rPr>
        <w:t>от 14.03.1995 № 33-ФЗ «Об особо охраняемых природных территориях»;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b w:val="false"/>
          <w:sz w:val="28"/>
        </w:rPr>
        <w:t>- проектная документация, предусматривающая строительство, эксплуатацию и демонтаж (снос) на особо охраняемых природных территориях регионального значения некапитальных строений, сооружений, не связанных с созданием лесной инфраструктуры;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b w:val="false"/>
          <w:sz w:val="28"/>
        </w:rPr>
        <w:t xml:space="preserve">- </w:t>
      </w:r>
      <w:r>
        <w:rPr>
          <w:b w:val="false"/>
          <w:color w:val="000000"/>
          <w:sz w:val="28"/>
        </w:rPr>
        <w:t>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атериалы, обосновывающие изменение границ, режима особой охраны особо охраняемых природных территорий регионального значения и их охранных зон, категории особо охраняемых природных территорий регионального значения, ликвидации (снятии статуса) особо охраняемых природных территорий регионального значения в Камчатском крае,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за исключением случаев, предусмотренных частями 1–4, 6(1) статьи 9, частью 1 статьи 9.2, частями 1–3 статьи 10 Закона Камчатского края от 29.12.2014 № 564 «Об особо охраняемых природных территориях в Камчатском крае».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/>
      </w:pPr>
      <w:r>
        <w:rPr/>
        <w:t xml:space="preserve">Указанные предложения направлены на защиту уникальных природных комплексов и объектов на </w:t>
      </w:r>
      <w:r>
        <w:rPr>
          <w:b w:val="false"/>
          <w:sz w:val="28"/>
        </w:rPr>
        <w:t xml:space="preserve">особо охраняемых природных территориях (далее </w:t>
      </w:r>
      <w:r>
        <w:rPr>
          <w:b w:val="false"/>
          <w:color w:val="000000"/>
          <w:sz w:val="28"/>
        </w:rPr>
        <w:t xml:space="preserve">– </w:t>
      </w:r>
      <w:r>
        <w:rPr>
          <w:b w:val="false"/>
          <w:sz w:val="28"/>
        </w:rPr>
        <w:t xml:space="preserve">ООПТ) </w:t>
      </w:r>
      <w:r>
        <w:rPr/>
        <w:t xml:space="preserve">регионального значения, предупреждение их бессистемной застройки и освоения природных ресурсов, прежде всего, лесов в целях, не предусмотренных целями создания ООПТ, к которым Федеральным законом № 33-ФЗ </w:t>
      </w:r>
      <w:r>
        <w:rPr>
          <w:b w:val="false"/>
          <w:sz w:val="28"/>
        </w:rPr>
        <w:t xml:space="preserve">отнесено </w:t>
      </w:r>
      <w:r>
        <w:rPr>
          <w:b w:val="false"/>
        </w:rPr>
        <w:t xml:space="preserve">сохранение уникальных и типичных природных комплексов и объектов, объектов растительного и животного мира, естественных экологических систем, биоразнообразия. Проектом постановления учтен правовой статус защитных лесов, расположенных на ООПТ </w:t>
      </w:r>
      <w:r>
        <w:rPr>
          <w:b w:val="false"/>
          <w:color w:val="000000"/>
          <w:sz w:val="28"/>
        </w:rPr>
        <w:t>– указанные леса</w:t>
      </w:r>
      <w:r>
        <w:rPr>
          <w:b w:val="false"/>
        </w:rPr>
        <w:t xml:space="preserve"> используются в соответствии с режимом особой охраны ООПТ, целевым назначением земель, определяемыми лесным законодательством, законодательством Российской Федерации об ООПТ и положением о соответствующей ООПТ (абзац второй пункта 3 приказа Минприроды России от 12.08.2021 № 558 «Об утверждении Особенностей использования, охраны, защиты, воспроизводства лесов, расположенных на особо охраняемых природных территориях»). </w:t>
      </w:r>
    </w:p>
    <w:p>
      <w:pPr>
        <w:pStyle w:val="BodyText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Подпунктом 4.1 статьи 12 Федерального закона № 33-ФЗ до 31.07.2020 к объектам государственной экологической экспертизы регионального уровня была отнесена проектная документация объектов, строительство, реконструкцию которых предполагается осуществлять в границах ООПТ регионального и местного значения. Указанная норма включала объекты капитального и некапитального строительства. Федеральным законом от 31.07.2020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 подпункт 4.1 статьи 12 Федерального закона № 33-ФЗ признан утратившим силу.  </w:t>
      </w:r>
    </w:p>
    <w:p>
      <w:pPr>
        <w:pStyle w:val="BodyText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 xml:space="preserve">В связи с высокой эколого-экономической и общественной значимостью принятия решений об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изменении границ, режима особой охраны ООПТ регионального значения и их охранных зон, категории ООПТ, ликвидации (снятии статуса) ООПТ регионального значения в Камчатском крае проектом постановления для ряда случаев предложено отнести к объектам государственной экологической экспертизы регионального уровня материалы, обосновывающие принятие таких решений. Исключения предусмотрены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пунктами 1–4, 6(1) части 1 статьи 9, статьей 9.2, пунктами 1–3 статьи 10 Закона Камчатского края от 29.12.2014 № 564 «Об особо охраняемых природных территориях в Камчатском крае».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К примеру, не подлежат государственной экологической экспертизе материалы, обосновывающие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включени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в границы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ООПТ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регионального значения иной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ООПТ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регионального значения либо ее части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или исключения из ООПТ регионального значения части, входящей в границы иной ООПТ федерального или регионального значения.</w:t>
      </w:r>
    </w:p>
    <w:p>
      <w:pPr>
        <w:pStyle w:val="BodyText"/>
        <w:tabs>
          <w:tab w:val="clear" w:pos="708"/>
          <w:tab w:val="left" w:pos="567" w:leader="none"/>
          <w:tab w:val="left" w:pos="993" w:leader="none"/>
        </w:tabs>
        <w:spacing w:lineRule="auto" w:line="240" w:before="0" w:after="0"/>
        <w:ind w:firstLine="709" w:left="0" w:right="0"/>
        <w:jc w:val="both"/>
        <w:rPr>
          <w:b w:val="false"/>
        </w:rPr>
      </w:pPr>
      <w:r>
        <w:rPr/>
        <w:t xml:space="preserve">Проект постановления подлежит оценке регулирующего воздействия соответствии с постановлением Правительства Камчатского края от 28.09.2022 </w:t>
        <w:br/>
        <w:t xml:space="preserve"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>
      <w:pPr>
        <w:pStyle w:val="Normal"/>
        <w:ind w:firstLine="709" w:left="0" w:right="0"/>
        <w:jc w:val="both"/>
        <w:rPr/>
      </w:pPr>
      <w:r>
        <w:rPr/>
        <w:t xml:space="preserve">Министерством природных ресурсов и экологии Камчатского края проведены публичные консультации по проекту постановления в сроки с </w:t>
      </w:r>
      <w:r>
        <w:rPr/>
        <w:t>05.09.2024</w:t>
      </w:r>
      <w:r>
        <w:rPr/>
        <w:t xml:space="preserve"> по </w:t>
      </w:r>
      <w:r>
        <w:rPr/>
        <w:t>04.10.2024</w:t>
      </w:r>
      <w:r>
        <w:rPr/>
        <w:t xml:space="preserve">. </w:t>
      </w:r>
    </w:p>
    <w:p>
      <w:pPr>
        <w:pStyle w:val="Normal"/>
        <w:ind w:firstLine="709" w:left="0" w:right="0"/>
        <w:jc w:val="both"/>
        <w:rPr/>
      </w:pPr>
      <w:r>
        <w:rPr/>
        <w:t xml:space="preserve">Проект постановления </w:t>
      </w:r>
      <w:r>
        <w:rPr/>
        <w:t>05.09.2024</w:t>
      </w:r>
      <w:r>
        <w:rPr/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/>
        <w:t xml:space="preserve">16.09.2024 </w:t>
      </w:r>
      <w:r>
        <w:rPr/>
        <w:t>независимой антикоррупционной экспертизы, по окончании которой экспертных заключений (не) поступало.</w:t>
      </w:r>
    </w:p>
    <w:p>
      <w:pPr>
        <w:pStyle w:val="Normal"/>
        <w:ind w:firstLine="709" w:left="0" w:right="0"/>
        <w:jc w:val="both"/>
        <w:rPr/>
      </w:pPr>
      <w:r>
        <w:rPr/>
        <w:t>На проект постановления получено заключение Министерства экономического развития Камчатского края от _____. Получение иных согласований не требуется.</w:t>
      </w:r>
    </w:p>
    <w:p>
      <w:pPr>
        <w:pStyle w:val="Normal"/>
        <w:ind w:firstLine="709" w:left="0" w:right="0"/>
        <w:jc w:val="both"/>
        <w:rPr/>
      </w:pPr>
      <w:r>
        <w:rPr/>
        <w:t>Принятие настоящего постановления Правительства Камчатского края не потребует выделения финансовых средств из краевого бюджета.</w:t>
      </w:r>
    </w:p>
    <w:sectPr>
      <w:headerReference w:type="default" r:id="rId2"/>
      <w:footerReference w:type="default" r:id="rId3"/>
      <w:footerReference w:type="first" r:id="rId4"/>
      <w:type w:val="nextPage"/>
      <w:pgSz w:w="11906" w:h="16838"/>
      <w:pgMar w:left="1134" w:right="567" w:gutter="0" w:header="567" w:top="1134" w:footer="244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2"/>
      </w:rPr>
    </w:pPr>
    <w:r>
      <w:rPr>
        <w:sz w:val="22"/>
      </w:rPr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2"/>
      </w:rPr>
    </w:pPr>
    <w:r>
      <w:rPr>
        <w:sz w:val="22"/>
      </w:rPr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posOffset>3195320</wp:posOffset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1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51.6pt;margin-top:0.05pt;width:7pt;height:15.95pt;mso-wrap-style:none;v-text-anchor:middle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51.55pt;margin-top:0.05pt;width:7pt;height:15.9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51.6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40" w:before="120" w:after="120"/>
      <w:ind w:firstLine="709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firstLine="709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firstLine="709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firstLine="709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firstLine="709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Header11">
    <w:name w:val="Header11"/>
    <w:link w:val="Header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111">
    <w:name w:val="Указатель1111"/>
    <w:link w:val="11112"/>
    <w:qFormat/>
    <w:rPr/>
  </w:style>
  <w:style w:type="character" w:styleId="Heading12">
    <w:name w:val="Heading 12"/>
    <w:link w:val="Heading121"/>
    <w:qFormat/>
    <w:rPr>
      <w:rFonts w:ascii="XO Thames" w:hAnsi="XO Thames"/>
      <w:b/>
      <w:color w:val="000000"/>
      <w:spacing w:val="0"/>
      <w:sz w:val="32"/>
    </w:rPr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3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32">
    <w:name w:val="Heading 32"/>
    <w:link w:val="Heading321"/>
    <w:qFormat/>
    <w:rPr>
      <w:rFonts w:ascii="XO Thames" w:hAnsi="XO Thames"/>
      <w:b/>
      <w:color w:val="000000"/>
      <w:spacing w:val="0"/>
      <w:sz w:val="26"/>
    </w:rPr>
  </w:style>
  <w:style w:type="character" w:styleId="2">
    <w:name w:val="Содержимое врезки2"/>
    <w:link w:val="211"/>
    <w:qFormat/>
    <w:rPr/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pacing w:val="0"/>
      <w:sz w:val="40"/>
    </w:rPr>
  </w:style>
  <w:style w:type="character" w:styleId="11">
    <w:name w:val="Заголовок11"/>
    <w:link w:val="1121"/>
    <w:qFormat/>
    <w:rPr>
      <w:rFonts w:ascii="Open Sans" w:hAnsi="Open Sans"/>
      <w:sz w:val="28"/>
    </w:rPr>
  </w:style>
  <w:style w:type="character" w:styleId="Textbody">
    <w:name w:val="Text body"/>
    <w:qFormat/>
    <w:rPr/>
  </w:style>
  <w:style w:type="character" w:styleId="4">
    <w:name w:val="Колонтитул4"/>
    <w:link w:val="411"/>
    <w:qFormat/>
    <w:rPr/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11111">
    <w:name w:val="Заголовок1111"/>
    <w:link w:val="111121"/>
    <w:qFormat/>
    <w:rPr>
      <w:rFonts w:ascii="Open Sans" w:hAnsi="Open Sans"/>
      <w:sz w:val="28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111">
    <w:name w:val="Нижний колонтитул Знак11"/>
    <w:basedOn w:val="DefaultParagraphFont11"/>
    <w:link w:val="1114"/>
    <w:qFormat/>
    <w:rPr>
      <w:rFonts w:ascii="Times New Roman" w:hAnsi="Times New Roman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12">
    <w:name w:val="Заголовок111"/>
    <w:link w:val="11121"/>
    <w:qFormat/>
    <w:rPr>
      <w:rFonts w:ascii="Open Sans" w:hAnsi="Open Sans"/>
      <w:sz w:val="28"/>
    </w:rPr>
  </w:style>
  <w:style w:type="character" w:styleId="Footer1">
    <w:name w:val="Footer1"/>
    <w:qFormat/>
    <w:rPr/>
  </w:style>
  <w:style w:type="character" w:styleId="112">
    <w:name w:val="Указатель11"/>
    <w:link w:val="1122"/>
    <w:qFormat/>
    <w:rPr/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3">
    <w:name w:val="Содержимое врезки3"/>
    <w:link w:val="311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Internetlink1">
    <w:name w:val="Internet link1"/>
    <w:link w:val="Internetlink11"/>
    <w:qFormat/>
    <w:rPr>
      <w:rFonts w:ascii="Calibri" w:hAnsi="Calibri"/>
      <w:color w:val="0000FF"/>
      <w:spacing w:val="0"/>
      <w:sz w:val="22"/>
      <w:u w:val="single"/>
    </w:rPr>
  </w:style>
  <w:style w:type="character" w:styleId="1">
    <w:name w:val="Заголовок1"/>
    <w:link w:val="121"/>
    <w:qFormat/>
    <w:rPr>
      <w:rFonts w:ascii="Open Sans" w:hAnsi="Open Sans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5">
    <w:name w:val="Содержимое врезки5"/>
    <w:link w:val="51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er2">
    <w:name w:val="Header2"/>
    <w:link w:val="Header21"/>
    <w:qFormat/>
    <w:rPr/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Footer11">
    <w:name w:val="Footer11"/>
    <w:link w:val="Footer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1">
    <w:name w:val="Header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DefaultParagraphFont11">
    <w:name w:val="Default Paragraph Font11"/>
    <w:link w:val="DefaultParagraphFont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12">
    <w:name w:val="Содержимое врезки1"/>
    <w:link w:val="113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11111">
    <w:name w:val="Заголовок11111"/>
    <w:link w:val="1111111"/>
    <w:qFormat/>
    <w:rPr>
      <w:rFonts w:ascii="Open Sans" w:hAnsi="Open Sans"/>
      <w:sz w:val="28"/>
    </w:rPr>
  </w:style>
  <w:style w:type="character" w:styleId="BalloonText11">
    <w:name w:val="Balloon Text11"/>
    <w:link w:val="BalloonText111"/>
    <w:qFormat/>
    <w:rPr>
      <w:rFonts w:ascii="Segoe UI" w:hAnsi="Segoe UI"/>
      <w:sz w:val="18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13">
    <w:name w:val="Колонтитул1"/>
    <w:link w:val="114"/>
    <w:qFormat/>
    <w:rPr>
      <w:rFonts w:ascii="XO Thames" w:hAnsi="XO Thames"/>
      <w:color w:val="000000"/>
      <w:spacing w:val="0"/>
      <w:sz w:val="20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1"/>
    <w:qFormat/>
    <w:rPr>
      <w:rFonts w:ascii="Calibri" w:hAnsi="Calibri"/>
      <w:color w:val="0000FF"/>
      <w:spacing w:val="0"/>
      <w:sz w:val="22"/>
      <w:u w:val="single"/>
    </w:rPr>
  </w:style>
  <w:style w:type="character" w:styleId="Heading311">
    <w:name w:val="Heading 311"/>
    <w:link w:val="Heading3111"/>
    <w:qFormat/>
    <w:rPr>
      <w:rFonts w:ascii="XO Thames" w:hAnsi="XO Thames"/>
      <w:b/>
      <w:color w:val="000000"/>
      <w:spacing w:val="0"/>
      <w:sz w:val="26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1"/>
    <w:link w:val="List11"/>
    <w:qFormat/>
    <w:rPr/>
  </w:style>
  <w:style w:type="character" w:styleId="111112">
    <w:name w:val="Указатель11111"/>
    <w:link w:val="1111112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ListParagraph11">
    <w:name w:val="List Paragraph11"/>
    <w:link w:val="ListParagraph111"/>
    <w:qFormat/>
    <w:rPr/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Heading111">
    <w:name w:val="Heading 111"/>
    <w:link w:val="Heading1111"/>
    <w:qFormat/>
    <w:rPr>
      <w:rFonts w:ascii="XO Thames" w:hAnsi="XO Thames"/>
      <w:b/>
      <w:color w:val="000000"/>
      <w:spacing w:val="0"/>
      <w:sz w:val="32"/>
    </w:rPr>
  </w:style>
  <w:style w:type="character" w:styleId="Title2">
    <w:name w:val="Title2"/>
    <w:link w:val="Title21"/>
    <w:qFormat/>
    <w:rPr>
      <w:rFonts w:ascii="XO Thames" w:hAnsi="XO Thames"/>
      <w:b/>
      <w:caps/>
      <w:color w:val="000000"/>
      <w:spacing w:val="0"/>
      <w:sz w:val="40"/>
    </w:rPr>
  </w:style>
  <w:style w:type="character" w:styleId="41">
    <w:name w:val="Содержимое врезки4"/>
    <w:link w:val="412"/>
    <w:qFormat/>
    <w:rPr/>
  </w:style>
  <w:style w:type="character" w:styleId="Textbody1">
    <w:name w:val="Text body1"/>
    <w:link w:val="Textbody2"/>
    <w:qFormat/>
    <w:rPr/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21">
    <w:name w:val="Колонтитул2"/>
    <w:link w:val="212"/>
    <w:qFormat/>
    <w:rPr/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List2">
    <w:name w:val="List2"/>
    <w:basedOn w:val="Textbody"/>
    <w:qFormat/>
    <w:rPr/>
  </w:style>
  <w:style w:type="character" w:styleId="Caption1">
    <w:name w:val="Caption1"/>
    <w:qFormat/>
    <w:rPr>
      <w:i/>
      <w:sz w:val="24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14">
    <w:name w:val="Указатель1"/>
    <w:link w:val="122"/>
    <w:qFormat/>
    <w:rPr/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1113">
    <w:name w:val="Указатель111"/>
    <w:link w:val="11122"/>
    <w:qFormat/>
    <w:rPr/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31">
    <w:name w:val="Колонтитул3"/>
    <w:link w:val="312"/>
    <w:qFormat/>
    <w:rPr/>
  </w:style>
  <w:style w:type="character" w:styleId="51">
    <w:name w:val="Колонтитул5"/>
    <w:link w:val="512"/>
    <w:qFormat/>
    <w:rPr/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Footer2">
    <w:name w:val="Footer2"/>
    <w:link w:val="Footer21"/>
    <w:qFormat/>
    <w:rPr/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Caption11">
    <w:name w:val="Caption11"/>
    <w:link w:val="Caption12"/>
    <w:qFormat/>
    <w:rPr>
      <w:i/>
      <w:sz w:val="24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Header111">
    <w:name w:val="Header111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2">
    <w:name w:val="Указатель11112"/>
    <w:basedOn w:val="Normal"/>
    <w:link w:val="1111"/>
    <w:qFormat/>
    <w:pPr/>
    <w:rPr/>
  </w:style>
  <w:style w:type="paragraph" w:styleId="Heading121">
    <w:name w:val="Heading 121"/>
    <w:link w:val="Heading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121">
    <w:name w:val="Contents 121"/>
    <w:link w:val="Contents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3">
    <w:name w:val="Contents 53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21">
    <w:name w:val="Heading 321"/>
    <w:link w:val="Heading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1">
    <w:name w:val="Содержимое врезки21"/>
    <w:basedOn w:val="Normal"/>
    <w:link w:val="2"/>
    <w:qFormat/>
    <w:pPr/>
    <w:rPr/>
  </w:style>
  <w:style w:type="paragraph" w:styleId="Contents63">
    <w:name w:val="Contents 63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21">
    <w:name w:val="Заголовок112"/>
    <w:basedOn w:val="Normal"/>
    <w:next w:val="BodyText"/>
    <w:link w:val="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411">
    <w:name w:val="Колонтитул41"/>
    <w:basedOn w:val="Normal"/>
    <w:link w:val="4"/>
    <w:qFormat/>
    <w:pPr/>
    <w:rPr/>
  </w:style>
  <w:style w:type="paragraph" w:styleId="Contents811">
    <w:name w:val="Contents 811"/>
    <w:link w:val="Contents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21">
    <w:name w:val="Заголовок11112"/>
    <w:basedOn w:val="Normal"/>
    <w:next w:val="BodyText"/>
    <w:link w:val="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note111">
    <w:name w:val="Footnote111"/>
    <w:link w:val="Footnote11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4">
    <w:name w:val="Нижний колонтитул Знак111"/>
    <w:basedOn w:val="DefaultParagraphFont111"/>
    <w:link w:val="111"/>
    <w:qFormat/>
    <w:pPr/>
    <w:rPr>
      <w:rFonts w:ascii="Times New Roman" w:hAnsi="Times New Roman"/>
      <w:sz w:val="28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1">
    <w:name w:val="Заголовок1112"/>
    <w:basedOn w:val="Normal"/>
    <w:next w:val="BodyText"/>
    <w:link w:val="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ind w:right="357"/>
    </w:pPr>
    <w:rPr/>
  </w:style>
  <w:style w:type="paragraph" w:styleId="1122">
    <w:name w:val="Указатель112"/>
    <w:basedOn w:val="Normal"/>
    <w:link w:val="112"/>
    <w:qFormat/>
    <w:pPr/>
    <w:rPr/>
  </w:style>
  <w:style w:type="paragraph" w:styleId="Contents311">
    <w:name w:val="Contents 311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Содержимое врезки31"/>
    <w:basedOn w:val="Normal"/>
    <w:link w:val="3"/>
    <w:qFormat/>
    <w:pPr/>
    <w:rPr/>
  </w:style>
  <w:style w:type="paragraph" w:styleId="Contents821">
    <w:name w:val="Contents 821"/>
    <w:link w:val="Contents8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">
    <w:name w:val="Internet link11"/>
    <w:link w:val="Internetlink1"/>
    <w:qFormat/>
    <w:pPr>
      <w:widowControl/>
      <w:bidi w:val="0"/>
      <w:spacing w:lineRule="auto" w:line="240" w:before="0" w:after="0"/>
      <w:ind w:firstLine="709" w:left="0" w:right="0"/>
      <w:jc w:val="both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21">
    <w:name w:val="Заголовок12"/>
    <w:basedOn w:val="Normal"/>
    <w:next w:val="BodyText"/>
    <w:link w:val="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3">
    <w:name w:val="Contents 23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">
    <w:name w:val="Содержимое врезки51"/>
    <w:basedOn w:val="Normal"/>
    <w:link w:val="5"/>
    <w:qFormat/>
    <w:pPr/>
    <w:rPr/>
  </w:style>
  <w:style w:type="paragraph" w:styleId="Header21">
    <w:name w:val="Header21"/>
    <w:link w:val="Header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">
    <w:name w:val="Heading 4111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11">
    <w:name w:val="Footer111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11">
    <w:name w:val="Default Paragraph Font111"/>
    <w:link w:val="DefaultParagraphFont11"/>
    <w:qFormat/>
    <w:pPr>
      <w:widowControl/>
      <w:bidi w:val="0"/>
      <w:spacing w:lineRule="auto" w:line="240" w:before="0" w:after="0"/>
      <w:ind w:firstLine="709" w:left="0" w:right="0"/>
      <w:jc w:val="both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Содержимое врезки11"/>
    <w:basedOn w:val="Normal"/>
    <w:link w:val="12"/>
    <w:qFormat/>
    <w:pPr/>
    <w:rPr/>
  </w:style>
  <w:style w:type="paragraph" w:styleId="Contents221">
    <w:name w:val="Contents 221"/>
    <w:link w:val="Contents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">
    <w:name w:val="Заголовок111111"/>
    <w:basedOn w:val="Normal"/>
    <w:next w:val="BodyText"/>
    <w:link w:val="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alloonText111">
    <w:name w:val="Balloon Text111"/>
    <w:basedOn w:val="Normal"/>
    <w:link w:val="BalloonText11"/>
    <w:qFormat/>
    <w:pPr/>
    <w:rPr>
      <w:rFonts w:ascii="Segoe UI" w:hAnsi="Segoe UI"/>
      <w:sz w:val="18"/>
    </w:rPr>
  </w:style>
  <w:style w:type="paragraph" w:styleId="Heading221">
    <w:name w:val="Heading 221"/>
    <w:link w:val="Heading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Колонтитул11"/>
    <w:link w:val="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">
    <w:name w:val="Internet link21"/>
    <w:link w:val="Internet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3111">
    <w:name w:val="Heading 3111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1">
    <w:name w:val="List11"/>
    <w:basedOn w:val="Textbody2"/>
    <w:link w:val="List1"/>
    <w:qFormat/>
    <w:pPr/>
    <w:rPr/>
  </w:style>
  <w:style w:type="paragraph" w:styleId="1111112">
    <w:name w:val="Указатель111111"/>
    <w:basedOn w:val="Normal"/>
    <w:link w:val="111112"/>
    <w:qFormat/>
    <w:pPr/>
    <w:rPr/>
  </w:style>
  <w:style w:type="paragraph" w:styleId="Contents421">
    <w:name w:val="Contents 421"/>
    <w:link w:val="Contents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11">
    <w:name w:val="List Paragraph111"/>
    <w:basedOn w:val="Normal"/>
    <w:link w:val="ListParagraph11"/>
    <w:qFormat/>
    <w:pPr>
      <w:ind w:hanging="0" w:left="708"/>
    </w:pPr>
    <w:rPr/>
  </w:style>
  <w:style w:type="paragraph" w:styleId="Heading2111">
    <w:name w:val="Heading 2111"/>
    <w:link w:val="Heading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Textbody2">
    <w:name w:val="Text body2"/>
    <w:link w:val="Textbody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2">
    <w:name w:val="Колонтитул21"/>
    <w:basedOn w:val="Normal"/>
    <w:link w:val="21"/>
    <w:qFormat/>
    <w:pPr/>
    <w:rPr/>
  </w:style>
  <w:style w:type="paragraph" w:styleId="Heading521">
    <w:name w:val="Heading 521"/>
    <w:link w:val="Heading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">
    <w:name w:val="Указатель12"/>
    <w:basedOn w:val="Normal"/>
    <w:link w:val="14"/>
    <w:qFormat/>
    <w:pPr/>
    <w:rPr/>
  </w:style>
  <w:style w:type="paragraph" w:styleId="Contents911">
    <w:name w:val="Contents 911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2">
    <w:name w:val="Указатель1112"/>
    <w:basedOn w:val="Normal"/>
    <w:link w:val="1113"/>
    <w:qFormat/>
    <w:pPr/>
    <w:rPr/>
  </w:style>
  <w:style w:type="paragraph" w:styleId="Contents721">
    <w:name w:val="Contents 721"/>
    <w:link w:val="Contents7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2">
    <w:name w:val="Колонтитул31"/>
    <w:basedOn w:val="Normal"/>
    <w:link w:val="31"/>
    <w:qFormat/>
    <w:pPr/>
    <w:rPr/>
  </w:style>
  <w:style w:type="paragraph" w:styleId="512">
    <w:name w:val="Колонтитул51"/>
    <w:basedOn w:val="Normal"/>
    <w:link w:val="51"/>
    <w:qFormat/>
    <w:pPr/>
    <w:rPr/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firstLine="709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11">
    <w:name w:val="Heading 5111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firstLine="709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ubtitle111">
    <w:name w:val="Subtitle111"/>
    <w:link w:val="Subtit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21">
    <w:name w:val="Footer21"/>
    <w:link w:val="Footer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21">
    <w:name w:val="Subtitle21"/>
    <w:link w:val="Subtitle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default="1" w:styleId="Style_9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LibreOffice/7.6.7.2$Linux_X86_64 LibreOffice_project/60$Build-2</Application>
  <AppVersion>15.0000</AppVersion>
  <Pages>3</Pages>
  <Words>869</Words>
  <Characters>6331</Characters>
  <CharactersWithSpaces>7193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2024-09-05T09:23:20Z</dcterms:modified>
  <cp:revision>1</cp:revision>
  <dc:subject/>
  <dc:title/>
</cp:coreProperties>
</file>