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header+xml" PartName="/word/header4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5000000">
      <w:pPr>
        <w:spacing w:after="0" w:line="276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32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b="0" l="0" r="0" t="0"/>
            <wp:wrapTight distL="114300" distR="114300" wrapText="bothSides">
              <wp:wrapPolygon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5"/>
                    <a:srcRect b="0" l="0" r="0" t="0"/>
                    <a:stretch/>
                  </pic:blipFill>
                  <pic:spPr>
                    <a:xfrm flipH="false" flipV="false" rot="0">
                      <a:ext cx="647700" cy="8077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6000000">
      <w:pPr>
        <w:spacing w:after="0" w:line="360" w:lineRule="auto"/>
        <w:ind/>
        <w:jc w:val="center"/>
        <w:rPr>
          <w:rFonts w:ascii="Times New Roman" w:hAnsi="Times New Roman"/>
          <w:sz w:val="32"/>
        </w:rPr>
      </w:pPr>
    </w:p>
    <w:p w14:paraId="07000000">
      <w:pPr>
        <w:spacing w:after="0" w:line="240" w:lineRule="auto"/>
        <w:ind/>
        <w:jc w:val="center"/>
        <w:rPr>
          <w:rFonts w:ascii="Times New Roman" w:hAnsi="Times New Roman"/>
          <w:b w:val="1"/>
          <w:sz w:val="32"/>
        </w:rPr>
      </w:pPr>
    </w:p>
    <w:p w14:paraId="08000000">
      <w:pPr>
        <w:spacing w:after="0" w:line="240" w:lineRule="auto"/>
        <w:ind/>
        <w:rPr>
          <w:rFonts w:ascii="Times New Roman" w:hAnsi="Times New Roman"/>
          <w:b w:val="1"/>
          <w:sz w:val="32"/>
        </w:rPr>
      </w:pPr>
    </w:p>
    <w:p w14:paraId="09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МИНИСТЕРСТВО </w:t>
      </w:r>
      <w:r>
        <w:rPr>
          <w:rFonts w:ascii="Times New Roman" w:hAnsi="Times New Roman"/>
          <w:b w:val="1"/>
          <w:sz w:val="28"/>
        </w:rPr>
        <w:t>ИМУЩЕСТВЕННЫХ</w:t>
      </w:r>
    </w:p>
    <w:p w14:paraId="0A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 И ЗЕМЕЛЬНЫХ ОТНОШЕНИЙ</w:t>
      </w:r>
    </w:p>
    <w:p w14:paraId="0B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КАМЧАТСКОГО КРАЯ</w:t>
      </w:r>
    </w:p>
    <w:p w14:paraId="0C000000">
      <w:pPr>
        <w:spacing w:after="0" w:line="240" w:lineRule="auto"/>
        <w:ind/>
        <w:jc w:val="center"/>
        <w:rPr>
          <w:rFonts w:ascii="Times New Roman" w:hAnsi="Times New Roman"/>
          <w:sz w:val="24"/>
        </w:rPr>
      </w:pPr>
    </w:p>
    <w:p w14:paraId="0D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ПРИКАЗ</w:t>
      </w:r>
    </w:p>
    <w:p w14:paraId="0E000000">
      <w:pPr>
        <w:spacing w:after="0" w:line="240" w:lineRule="auto"/>
        <w:ind/>
        <w:jc w:val="center"/>
        <w:rPr>
          <w:rFonts w:ascii="Times New Roman" w:hAnsi="Times New Roman"/>
          <w:sz w:val="28"/>
        </w:rPr>
      </w:pPr>
    </w:p>
    <w:p w14:paraId="0F000000">
      <w:pPr>
        <w:spacing w:after="0" w:line="240" w:lineRule="auto"/>
        <w:ind w:firstLine="709" w:left="0"/>
        <w:jc w:val="center"/>
        <w:rPr>
          <w:rFonts w:ascii="Times New Roman" w:hAnsi="Times New Roman"/>
          <w:sz w:val="20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4253"/>
      </w:tblGrid>
      <w:tr>
        <w:trPr>
          <w:trHeight w:hRule="atLeast" w:val="427"/>
        </w:trPr>
        <w:tc>
          <w:tcPr>
            <w:tcW w:type="dxa" w:w="4253"/>
            <w:tcBorders>
              <w:top w:sz="4" w:val="nil"/>
              <w:left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0000000">
            <w:pPr>
              <w:spacing w:after="0" w:line="240" w:lineRule="auto"/>
              <w:ind w:hanging="142" w:left="142"/>
              <w:rPr>
                <w:rFonts w:ascii="Times New Roman" w:hAnsi="Times New Roman"/>
                <w:sz w:val="24"/>
              </w:rPr>
            </w:pPr>
            <w:bookmarkStart w:id="1" w:name="REGNUMDATESTAMP"/>
            <w:r>
              <w:rPr>
                <w:rFonts w:ascii="Times New Roman" w:hAnsi="Times New Roman"/>
                <w:color w:val="FFFFFF"/>
                <w:sz w:val="24"/>
              </w:rPr>
              <w:t>[Дата регистрации] № [Номер</w:t>
            </w:r>
            <w:r>
              <w:rPr>
                <w:rFonts w:ascii="Times New Roman" w:hAnsi="Times New Roman"/>
                <w:color w:val="FFFFFF"/>
                <w:sz w:val="20"/>
              </w:rPr>
              <w:t xml:space="preserve"> документа</w:t>
            </w:r>
            <w:r>
              <w:rPr>
                <w:rFonts w:ascii="Times New Roman" w:hAnsi="Times New Roman"/>
                <w:color w:val="FFFFFF"/>
                <w:sz w:val="24"/>
              </w:rPr>
              <w:t>]</w:t>
            </w:r>
            <w:bookmarkEnd w:id="1"/>
          </w:p>
        </w:tc>
      </w:tr>
      <w:tr>
        <w:trPr>
          <w:trHeight w:hRule="atLeast" w:val="247"/>
        </w:trPr>
        <w:tc>
          <w:tcPr>
            <w:tcW w:type="dxa" w:w="4253"/>
            <w:tcBorders>
              <w:left w:sz="4" w:val="nil"/>
              <w:bottom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1000000">
            <w:pPr>
              <w:spacing w:after="0" w:line="240" w:lineRule="auto"/>
              <w:ind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г. Петропавловск-Камчатский</w:t>
            </w:r>
          </w:p>
        </w:tc>
      </w:tr>
      <w:tr>
        <w:trPr>
          <w:trHeight w:hRule="atLeast" w:val="80"/>
        </w:trPr>
        <w:tc>
          <w:tcPr>
            <w:tcW w:type="dxa" w:w="4253"/>
            <w:tcMar>
              <w:left w:type="dxa" w:w="0"/>
              <w:right w:type="dxa" w:w="0"/>
            </w:tcMar>
          </w:tcPr>
          <w:p w14:paraId="12000000">
            <w:pPr>
              <w:spacing w:after="0" w:line="240" w:lineRule="auto"/>
              <w:ind/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14:paraId="13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3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9637"/>
      </w:tblGrid>
      <w:tr>
        <w:tc>
          <w:tcPr>
            <w:tcW w:type="dxa" w:w="9637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14000000">
            <w:pPr>
              <w:spacing w:after="0" w:line="240" w:lineRule="auto"/>
              <w:ind/>
              <w:jc w:val="center"/>
              <w:rPr>
                <w:b w:val="1"/>
                <w:color w:val="000000"/>
              </w:rPr>
            </w:pP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О внесении изменений в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приказ Министерства имущественных</w:t>
            </w:r>
            <w:r>
              <w:rPr>
                <w:b w:val="1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и земельных отношений Камчатского края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от 16.04.2024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№ 33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-Н</w:t>
            </w:r>
          </w:p>
          <w:p w14:paraId="15000000">
            <w:pPr>
              <w:spacing w:after="0" w:line="240" w:lineRule="auto"/>
              <w:ind/>
              <w:jc w:val="center"/>
              <w:rPr>
                <w:b w:val="1"/>
                <w:color w:val="000000"/>
              </w:rPr>
            </w:pPr>
            <w:r>
              <w:rPr>
                <w:rFonts w:ascii="Times New Roman" w:hAnsi="Times New Roman"/>
                <w:b w:val="1"/>
                <w:color w:val="000000"/>
                <w:sz w:val="28"/>
              </w:rPr>
              <w:t>«Об установлении публичного сервитута в целях размещения линий и сооружений связи – волоконно-оптической линии связи (ВОЛС)</w:t>
            </w:r>
          </w:p>
          <w:p w14:paraId="16000000">
            <w:pPr>
              <w:spacing w:after="0" w:line="240" w:lineRule="auto"/>
              <w:ind/>
              <w:jc w:val="center"/>
              <w:rPr>
                <w:b w:val="1"/>
                <w:color w:val="000000"/>
              </w:rPr>
            </w:pPr>
            <w:r>
              <w:rPr>
                <w:rFonts w:ascii="Times New Roman" w:hAnsi="Times New Roman"/>
                <w:b w:val="1"/>
                <w:color w:val="000000"/>
                <w:sz w:val="28"/>
              </w:rPr>
              <w:t>«Лессная - Оссора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»</w:t>
            </w:r>
          </w:p>
        </w:tc>
      </w:tr>
    </w:tbl>
    <w:p w14:paraId="17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8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9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соответствии со статьей 23, главой V.7 Земельного кодекса Российской Федерации, </w:t>
      </w:r>
      <w:r>
        <w:rPr>
          <w:rFonts w:ascii="Times New Roman" w:hAnsi="Times New Roman"/>
          <w:sz w:val="28"/>
        </w:rPr>
        <w:t>руководствуясь пунктом 24.3 Положения о Министерстве имущественных и земельных отношений Камчатского кра</w:t>
      </w:r>
      <w:r>
        <w:rPr>
          <w:rFonts w:ascii="Times New Roman" w:hAnsi="Times New Roman"/>
          <w:sz w:val="28"/>
        </w:rPr>
        <w:t>я, утвержденного постановлением Правительства Камчатск</w:t>
      </w:r>
      <w:r>
        <w:rPr>
          <w:rFonts w:ascii="Times New Roman" w:hAnsi="Times New Roman"/>
          <w:sz w:val="28"/>
        </w:rPr>
        <w:t xml:space="preserve">ого края от 27.09.2022 № 508-П, 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</w:rPr>
        <w:t xml:space="preserve">на основании ходатайства общества с ограниченной ответственностью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>ИнтерКамСервис</w:t>
      </w:r>
      <w:r>
        <w:rPr>
          <w:rFonts w:ascii="Times New Roman" w:hAnsi="Times New Roman"/>
          <w:sz w:val="28"/>
        </w:rPr>
        <w:t>» от 12.07.2024</w:t>
      </w:r>
    </w:p>
    <w:p w14:paraId="1A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</w:p>
    <w:p w14:paraId="1B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</w:t>
      </w:r>
      <w:r>
        <w:rPr>
          <w:rFonts w:ascii="Times New Roman" w:hAnsi="Times New Roman"/>
          <w:sz w:val="28"/>
        </w:rPr>
        <w:t>:</w:t>
      </w:r>
    </w:p>
    <w:p w14:paraId="1C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D000000">
      <w:pPr>
        <w:numPr>
          <w:numId w:val="1"/>
        </w:num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Внести в приказ Министерства имущественных и земельных отношений Камчатского края </w:t>
      </w:r>
      <w:r>
        <w:rPr>
          <w:rFonts w:ascii="Times New Roman" w:hAnsi="Times New Roman"/>
          <w:sz w:val="28"/>
        </w:rPr>
        <w:t>от 16.04.2024 № 33-Н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 xml:space="preserve">Об установлении публичного сервитута в целях строительства линий и сооружений связи – волоконно-оптической линии связи (ВОЛС) «Лесная – Оссора» </w:t>
      </w:r>
      <w:r>
        <w:rPr>
          <w:rFonts w:ascii="Times New Roman" w:hAnsi="Times New Roman"/>
          <w:sz w:val="28"/>
        </w:rPr>
        <w:t>следующие изменения</w:t>
      </w:r>
      <w:r>
        <w:rPr>
          <w:rFonts w:ascii="Times New Roman" w:hAnsi="Times New Roman"/>
          <w:sz w:val="28"/>
        </w:rPr>
        <w:t>:</w:t>
      </w:r>
    </w:p>
    <w:p w14:paraId="1E000000">
      <w:pPr>
        <w:numPr>
          <w:numId w:val="2"/>
        </w:num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часть 1 </w:t>
      </w:r>
      <w:r>
        <w:rPr>
          <w:rFonts w:ascii="Times New Roman" w:hAnsi="Times New Roman"/>
          <w:sz w:val="28"/>
        </w:rPr>
        <w:t xml:space="preserve">изложить в </w:t>
      </w:r>
      <w:r>
        <w:rPr>
          <w:rFonts w:ascii="Times New Roman" w:hAnsi="Times New Roman"/>
          <w:sz w:val="28"/>
        </w:rPr>
        <w:t>следующей</w:t>
      </w:r>
      <w:r>
        <w:rPr>
          <w:rFonts w:ascii="Times New Roman" w:hAnsi="Times New Roman"/>
          <w:sz w:val="28"/>
        </w:rPr>
        <w:t xml:space="preserve"> редакции:</w:t>
      </w:r>
    </w:p>
    <w:p w14:paraId="1F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«1. </w:t>
      </w:r>
      <w:r>
        <w:rPr>
          <w:rFonts w:ascii="Times New Roman" w:hAnsi="Times New Roman"/>
          <w:sz w:val="28"/>
        </w:rPr>
        <w:t>Установить публичный сервитут в пользу общества с огра</w:t>
      </w:r>
      <w:r>
        <w:rPr>
          <w:rFonts w:ascii="Times New Roman" w:hAnsi="Times New Roman"/>
          <w:sz w:val="28"/>
        </w:rPr>
        <w:t>ниченной ответственностью «</w:t>
      </w:r>
      <w:r>
        <w:rPr>
          <w:rFonts w:ascii="Times New Roman" w:hAnsi="Times New Roman"/>
          <w:sz w:val="28"/>
        </w:rPr>
        <w:t>ИнтерКамСервис</w:t>
      </w:r>
      <w:r>
        <w:rPr>
          <w:rFonts w:ascii="Times New Roman" w:hAnsi="Times New Roman"/>
          <w:sz w:val="28"/>
        </w:rPr>
        <w:t xml:space="preserve">» (ОГРН 1024101021449, </w:t>
      </w:r>
      <w:r>
        <w:br/>
      </w:r>
      <w:r>
        <w:rPr>
          <w:rFonts w:ascii="Times New Roman" w:hAnsi="Times New Roman"/>
          <w:sz w:val="28"/>
        </w:rPr>
        <w:t xml:space="preserve">ИНН 4100005553), </w:t>
      </w:r>
      <w:r>
        <w:rPr>
          <w:rFonts w:ascii="Times New Roman" w:hAnsi="Times New Roman"/>
          <w:sz w:val="28"/>
        </w:rPr>
        <w:t>место нахождения: Камчатский край, г.о. Петропавловск-Камчатский, г. Петропавловск-Камчатский,</w:t>
      </w:r>
      <w:r>
        <w:rPr>
          <w:rFonts w:ascii="Times New Roman" w:hAnsi="Times New Roman"/>
          <w:sz w:val="28"/>
        </w:rPr>
        <w:t xml:space="preserve"> почтов</w:t>
      </w:r>
      <w:r>
        <w:rPr>
          <w:rFonts w:ascii="Times New Roman" w:hAnsi="Times New Roman"/>
          <w:sz w:val="28"/>
        </w:rPr>
        <w:t>ый адрес: 683031, Камчатский край, г. Петропавловск-Камчатский, просп. Карла Маркса, д. 31, адрес электр</w:t>
      </w:r>
      <w:r>
        <w:rPr>
          <w:rFonts w:ascii="Times New Roman" w:hAnsi="Times New Roman"/>
          <w:sz w:val="28"/>
        </w:rPr>
        <w:t xml:space="preserve">онной почты: iks@iks.ru </w:t>
      </w:r>
      <w:r>
        <w:rPr>
          <w:rFonts w:ascii="Times New Roman" w:hAnsi="Times New Roman"/>
          <w:sz w:val="28"/>
        </w:rPr>
        <w:t>(далее – обладатель публичного серв</w:t>
      </w:r>
      <w:r>
        <w:rPr>
          <w:rFonts w:ascii="Times New Roman" w:hAnsi="Times New Roman"/>
          <w:sz w:val="28"/>
        </w:rPr>
        <w:t xml:space="preserve">итута), в целях размещения линий </w:t>
      </w:r>
      <w:r>
        <w:rPr>
          <w:rFonts w:ascii="Times New Roman" w:hAnsi="Times New Roman"/>
          <w:sz w:val="28"/>
        </w:rPr>
        <w:t>и сооружений связи – волоконно-оптической линии связи (ВОЛС) «Лесная – Оссора</w:t>
      </w:r>
      <w:r>
        <w:rPr>
          <w:rFonts w:ascii="Times New Roman" w:hAnsi="Times New Roman"/>
          <w:sz w:val="28"/>
        </w:rPr>
        <w:t>»,</w:t>
      </w:r>
      <w:r>
        <w:rPr>
          <w:rFonts w:ascii="Times New Roman" w:hAnsi="Times New Roman"/>
          <w:sz w:val="28"/>
        </w:rPr>
        <w:t xml:space="preserve"> утвердив </w:t>
      </w:r>
      <w:r>
        <w:rPr>
          <w:rFonts w:ascii="Times New Roman" w:hAnsi="Times New Roman"/>
          <w:sz w:val="28"/>
        </w:rPr>
        <w:t>его границы согласно прил</w:t>
      </w:r>
      <w:r>
        <w:rPr>
          <w:rFonts w:ascii="Times New Roman" w:hAnsi="Times New Roman"/>
          <w:sz w:val="28"/>
        </w:rPr>
        <w:t xml:space="preserve">ожению </w:t>
      </w:r>
      <w:r>
        <w:rPr>
          <w:rFonts w:ascii="Times New Roman" w:hAnsi="Times New Roman"/>
          <w:sz w:val="28"/>
        </w:rPr>
        <w:t xml:space="preserve">к настоящему приказу (далее – </w:t>
      </w:r>
      <w:r>
        <w:rPr>
          <w:rFonts w:ascii="Times New Roman" w:hAnsi="Times New Roman"/>
          <w:sz w:val="28"/>
        </w:rPr>
        <w:t>публичный сервиту</w:t>
      </w:r>
      <w:r>
        <w:rPr>
          <w:rFonts w:ascii="Times New Roman" w:hAnsi="Times New Roman"/>
          <w:sz w:val="28"/>
        </w:rPr>
        <w:t>т),</w:t>
      </w:r>
      <w:r>
        <w:rPr>
          <w:rFonts w:ascii="Times New Roman" w:hAnsi="Times New Roman"/>
          <w:sz w:val="28"/>
        </w:rPr>
        <w:t xml:space="preserve"> в отношении земель, расположенных на территории сельского поселения «поселок Оссора» Карагинского муниципального района Камчатского края.</w:t>
      </w:r>
      <w:r>
        <w:rPr>
          <w:rFonts w:ascii="Times New Roman" w:hAnsi="Times New Roman"/>
          <w:sz w:val="28"/>
        </w:rPr>
        <w:t>»;</w:t>
      </w:r>
    </w:p>
    <w:p w14:paraId="20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2) </w:t>
      </w:r>
      <w:r>
        <w:rPr>
          <w:rFonts w:ascii="Times New Roman" w:hAnsi="Times New Roman"/>
          <w:sz w:val="28"/>
        </w:rPr>
        <w:t xml:space="preserve">приложение изложить в редакции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огласно приложению к настоящему приказу.</w:t>
      </w:r>
    </w:p>
    <w:p w14:paraId="21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Настоящий приказ вступает в силу после дня его официального опубликования.</w:t>
      </w:r>
    </w:p>
    <w:p w14:paraId="22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3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2976"/>
        <w:gridCol w:w="4393"/>
        <w:gridCol w:w="2268"/>
      </w:tblGrid>
      <w:tr>
        <w:trPr>
          <w:trHeight w:hRule="atLeast" w:val="2220"/>
        </w:trPr>
        <w:tc>
          <w:tcPr>
            <w:tcW w:type="dxa" w:w="2976"/>
            <w:shd w:fill="auto" w:val="clear"/>
            <w:tcMar>
              <w:left w:type="dxa" w:w="0"/>
              <w:right w:type="dxa" w:w="0"/>
            </w:tcMar>
          </w:tcPr>
          <w:p w14:paraId="24000000">
            <w:pPr>
              <w:spacing w:after="0" w:line="240" w:lineRule="auto"/>
              <w:ind w:right="2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Министр</w:t>
            </w:r>
          </w:p>
          <w:p w14:paraId="25000000">
            <w:pPr>
              <w:spacing w:after="0" w:line="240" w:lineRule="auto"/>
              <w:ind w:firstLine="0" w:left="30" w:right="27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4393"/>
            <w:shd w:fill="auto" w:val="clear"/>
            <w:tcMar>
              <w:left w:type="dxa" w:w="0"/>
              <w:right w:type="dxa" w:w="0"/>
            </w:tcMar>
          </w:tcPr>
          <w:p w14:paraId="26000000">
            <w:pPr>
              <w:spacing w:after="0" w:line="240" w:lineRule="auto"/>
              <w:ind/>
              <w:rPr>
                <w:rFonts w:ascii="Times New Roman" w:hAnsi="Times New Roman"/>
                <w:color w:themeColor="text1" w:val="000000"/>
                <w:sz w:val="24"/>
              </w:rPr>
            </w:pPr>
            <w:bookmarkStart w:id="2" w:name="SIGNERSTAMP1"/>
            <w:r>
              <w:rPr>
                <w:rFonts w:ascii="Times New Roman" w:hAnsi="Times New Roman"/>
                <w:color w:themeColor="background1" w:val="FFFFFF"/>
                <w:sz w:val="24"/>
              </w:rPr>
              <w:t>[горизонтальный штамп подписи 1]</w:t>
            </w:r>
            <w:bookmarkEnd w:id="2"/>
          </w:p>
        </w:tc>
        <w:tc>
          <w:tcPr>
            <w:tcW w:type="dxa" w:w="2268"/>
            <w:shd w:fill="auto" w:val="clear"/>
            <w:tcMar>
              <w:left w:type="dxa" w:w="0"/>
              <w:right w:type="dxa" w:w="0"/>
            </w:tcMar>
          </w:tcPr>
          <w:p w14:paraId="27000000">
            <w:pPr>
              <w:spacing w:after="0" w:line="240" w:lineRule="auto"/>
              <w:ind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И.В. Мищенко</w:t>
            </w:r>
            <w:bookmarkStart w:id="3" w:name="_GoBack"/>
            <w:bookmarkEnd w:id="3"/>
          </w:p>
        </w:tc>
      </w:tr>
    </w:tbl>
    <w:p w14:paraId="28000000">
      <w:pPr>
        <w:sectPr>
          <w:headerReference r:id="rId4" w:type="default"/>
          <w:pgSz w:h="16848" w:orient="portrait" w:w="11908"/>
          <w:pgMar w:bottom="567" w:footer="709" w:gutter="0" w:header="709" w:left="1417" w:right="850" w:top="1134"/>
          <w:titlePg/>
        </w:sectPr>
      </w:pPr>
    </w:p>
    <w:p w14:paraId="29000000">
      <w:pPr>
        <w:widowControl w:val="0"/>
        <w:tabs>
          <w:tab w:leader="none" w:pos="8222" w:val="left"/>
        </w:tabs>
        <w:spacing w:after="0" w:line="240" w:lineRule="auto"/>
        <w:ind w:firstLine="5103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к приказу Министерства</w:t>
      </w:r>
    </w:p>
    <w:p w14:paraId="2A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2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B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C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themeColor="background1" w:val="FFFFFF"/>
                <w:sz w:val="28"/>
              </w:rPr>
              <w:t>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EGDATESTAMP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]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D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E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EGNUMSTAMP]</w:t>
            </w:r>
          </w:p>
        </w:tc>
      </w:tr>
    </w:tbl>
    <w:p w14:paraId="2F000000">
      <w:pPr>
        <w:rPr>
          <w:rFonts w:ascii="Times New Roman" w:hAnsi="Times New Roman"/>
          <w:sz w:val="24"/>
        </w:rPr>
      </w:pPr>
    </w:p>
    <w:p w14:paraId="30000000">
      <w:pPr>
        <w:widowControl w:val="0"/>
        <w:tabs>
          <w:tab w:leader="none" w:pos="8222" w:val="left"/>
        </w:tabs>
        <w:spacing w:after="0" w:line="240" w:lineRule="auto"/>
        <w:ind w:firstLine="4961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«Приложение к приказу Министерства</w:t>
      </w:r>
    </w:p>
    <w:p w14:paraId="31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p w14:paraId="32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 16.04.2024 № 33-Н</w:t>
      </w:r>
    </w:p>
    <w:p w14:paraId="33000000">
      <w:pPr>
        <w:rPr>
          <w:rFonts w:ascii="Times New Roman" w:hAnsi="Times New Roman"/>
          <w:sz w:val="24"/>
        </w:rPr>
      </w:pPr>
    </w:p>
    <w:p w14:paraId="34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ОПИСАНИЕ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МЕСТОПОЛОЖЕНИЯ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ГРАНИЦ</w:t>
      </w:r>
    </w:p>
    <w:p w14:paraId="35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ПУБЛИЧНОГО СЕРВИТУТА</w:t>
      </w:r>
    </w:p>
    <w:p w14:paraId="36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b w:val="0"/>
          <w:color w:val="000000"/>
          <w:sz w:val="28"/>
          <w:u w:val="none"/>
        </w:rPr>
      </w:pP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отношении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и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земельных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участков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для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их </w:t>
      </w:r>
      <w:r>
        <w:rPr>
          <w:rFonts w:ascii="Times New Roman" w:hAnsi="Times New Roman"/>
          <w:sz w:val="28"/>
          <w:u w:val="none"/>
        </w:rPr>
        <w:t>использования</w:t>
      </w:r>
      <w:r>
        <w:rPr>
          <w:rFonts w:ascii="Times New Roman" w:hAnsi="Times New Roman"/>
          <w:spacing w:val="-5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6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целях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размещения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b w:val="0"/>
          <w:color w:val="000000"/>
          <w:sz w:val="28"/>
        </w:rPr>
        <w:t>линий и сооружений связи – волоконно-оптической линии связи (ВОЛС) «Лессная – Оссора»</w:t>
      </w:r>
    </w:p>
    <w:p w14:paraId="37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(наименование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объекта,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местоположение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границ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которого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описано</w:t>
      </w:r>
    </w:p>
    <w:p w14:paraId="38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(далее</w:t>
      </w:r>
      <w:r>
        <w:rPr>
          <w:rFonts w:ascii="Times New Roman" w:hAnsi="Times New Roman"/>
          <w:spacing w:val="2"/>
          <w:sz w:val="24"/>
        </w:rPr>
        <w:t xml:space="preserve"> </w:t>
      </w:r>
      <w:r>
        <w:rPr>
          <w:rFonts w:ascii="Times New Roman" w:hAnsi="Times New Roman"/>
          <w:spacing w:val="2"/>
          <w:sz w:val="24"/>
        </w:rPr>
        <w:t>–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объект))</w:t>
      </w:r>
    </w:p>
    <w:p w14:paraId="39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</w:p>
    <w:tbl>
      <w:tblPr>
        <w:tblStyle w:val="Style_2"/>
        <w:tblInd w:type="dxa" w:w="121"/>
        <w:tblBorders>
          <w:top w:color="000000" w:sz="6" w:val="single"/>
          <w:left w:color="000000" w:sz="6" w:val="single"/>
          <w:bottom w:color="000000" w:sz="6" w:val="single"/>
          <w:right w:color="000000" w:sz="6" w:val="single"/>
          <w:insideH w:color="000000" w:sz="6" w:val="single"/>
          <w:insideV w:color="000000" w:sz="6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850"/>
        <w:gridCol w:w="4181"/>
        <w:gridCol w:w="4470"/>
      </w:tblGrid>
      <w:tr>
        <w:trPr>
          <w:trHeight w:hRule="atLeast" w:val="538"/>
        </w:trPr>
        <w:tc>
          <w:tcPr>
            <w:tcW w:type="dxa" w:w="9501"/>
            <w:gridSpan w:val="3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A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Раздел</w:t>
            </w:r>
            <w:r>
              <w:rPr>
                <w:rFonts w:ascii="Times New Roman" w:hAnsi="Times New Roman"/>
                <w:b w:val="1"/>
                <w:spacing w:val="-13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1</w:t>
            </w:r>
          </w:p>
        </w:tc>
      </w:tr>
      <w:tr>
        <w:trPr>
          <w:trHeight w:hRule="atLeast" w:val="438"/>
        </w:trPr>
        <w:tc>
          <w:tcPr>
            <w:tcW w:type="dxa" w:w="9501"/>
            <w:gridSpan w:val="3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B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pacing w:val="-1"/>
                <w:sz w:val="24"/>
              </w:rPr>
              <w:t>Сведения</w:t>
            </w:r>
            <w:r>
              <w:rPr>
                <w:rFonts w:ascii="Times New Roman" w:hAnsi="Times New Roman"/>
                <w:b w:val="1"/>
                <w:spacing w:val="-16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об</w:t>
            </w:r>
            <w:r>
              <w:rPr>
                <w:rFonts w:ascii="Times New Roman" w:hAnsi="Times New Roman"/>
                <w:b w:val="1"/>
                <w:spacing w:val="-14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объекте</w:t>
            </w:r>
          </w:p>
        </w:tc>
      </w:tr>
      <w:tr>
        <w:trPr>
          <w:trHeight w:hRule="atLeast" w:val="438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C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№</w:t>
            </w:r>
            <w:r>
              <w:rPr>
                <w:rFonts w:ascii="Times New Roman" w:hAnsi="Times New Roman"/>
                <w:b w:val="1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п/п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D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 xml:space="preserve"> Характеристики</w:t>
            </w:r>
            <w:r>
              <w:rPr>
                <w:rFonts w:ascii="Times New Roman" w:hAnsi="Times New Roman"/>
                <w:b w:val="1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объекта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E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 xml:space="preserve"> Описание</w:t>
            </w:r>
            <w:r>
              <w:rPr>
                <w:rFonts w:ascii="Times New Roman" w:hAnsi="Times New Roman"/>
                <w:b w:val="1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 w:val="1"/>
                <w:sz w:val="24"/>
              </w:rPr>
              <w:t>характеристик</w:t>
            </w:r>
          </w:p>
        </w:tc>
      </w:tr>
      <w:tr>
        <w:trPr>
          <w:trHeight w:hRule="atLeast" w:val="325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F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1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0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2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1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3</w:t>
            </w:r>
          </w:p>
        </w:tc>
      </w:tr>
      <w:tr>
        <w:trPr>
          <w:trHeight w:hRule="atLeast" w:val="1692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2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3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Местоположение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4000000">
            <w:pPr>
              <w:spacing w:after="0" w:before="0"/>
              <w:ind w:firstLine="0" w:left="142" w:right="145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Камчатский край, район Карагинский, сельское поселение «село Оссора»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; </w:t>
            </w:r>
            <w:r>
              <w:rPr>
                <w:rFonts w:ascii="Times New Roman" w:hAnsi="Times New Roman"/>
                <w:sz w:val="24"/>
              </w:rPr>
              <w:t>Камчатский край, район Карагинский,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 xml:space="preserve">сельское поселение «село Оссора», </w:t>
            </w:r>
            <w:r>
              <w:rPr>
                <w:rFonts w:ascii="Times New Roman" w:hAnsi="Times New Roman"/>
                <w:sz w:val="24"/>
              </w:rPr>
              <w:t>поcелок Оссора.</w:t>
            </w:r>
          </w:p>
        </w:tc>
      </w:tr>
      <w:tr>
        <w:trPr>
          <w:trHeight w:hRule="atLeast" w:val="665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5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6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Площадь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+/–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величина</w:t>
            </w:r>
          </w:p>
          <w:p w14:paraId="47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погрешности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определения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площади</w:t>
            </w:r>
          </w:p>
          <w:p w14:paraId="48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(Р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+/-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Дельта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Р)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9000000">
            <w:pPr>
              <w:spacing w:after="0" w:before="0"/>
              <w:ind w:firstLine="142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7951 +/- 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31 </w:t>
            </w:r>
            <w:r>
              <w:rPr>
                <w:rFonts w:ascii="Times New Roman" w:hAnsi="Times New Roman"/>
                <w:sz w:val="24"/>
              </w:rPr>
              <w:t>м²</w:t>
            </w:r>
          </w:p>
        </w:tc>
      </w:tr>
      <w:tr>
        <w:trPr>
          <w:trHeight w:hRule="atLeast" w:val="1118"/>
        </w:trPr>
        <w:tc>
          <w:tcPr>
            <w:tcW w:type="dxa" w:w="85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A000000">
            <w:pPr>
              <w:spacing w:after="0" w:before="0"/>
              <w:ind w:firstLine="0" w:left="0" w:righ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3.</w:t>
            </w:r>
          </w:p>
        </w:tc>
        <w:tc>
          <w:tcPr>
            <w:tcW w:type="dxa" w:w="418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B000000">
            <w:pPr>
              <w:spacing w:after="0" w:before="0"/>
              <w:ind w:firstLine="0" w:left="0" w:right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Иные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характеристики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</w:p>
        </w:tc>
        <w:tc>
          <w:tcPr>
            <w:tcW w:type="dxa" w:w="447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C000000">
            <w:pPr>
              <w:ind w:firstLine="142" w:left="0"/>
            </w:pPr>
            <w:r>
              <w:t>-</w:t>
            </w:r>
          </w:p>
        </w:tc>
      </w:tr>
    </w:tbl>
    <w:p w14:paraId="4D000000">
      <w:pPr>
        <w:rPr>
          <w:rFonts w:ascii="Times New Roman" w:hAnsi="Times New Roman"/>
        </w:rPr>
      </w:pPr>
    </w:p>
    <w:p w14:paraId="4E000000">
      <w:pPr>
        <w:sectPr>
          <w:headerReference r:id="rId3" w:type="default"/>
          <w:type w:val="nextPage"/>
          <w:pgSz w:h="16848" w:orient="portrait" w:w="11908"/>
          <w:pgMar w:bottom="567" w:footer="709" w:gutter="0" w:header="709" w:left="1417" w:right="850" w:top="1134"/>
        </w:sectPr>
      </w:pPr>
    </w:p>
    <w:p w14:paraId="4F000000">
      <w:pPr>
        <w:ind w:firstLine="0" w:left="-425"/>
        <w:jc w:val="center"/>
      </w:pPr>
      <w:r>
        <w:drawing>
          <wp:inline>
            <wp:extent cx="6915149" cy="9753599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915149" cy="975359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0000000">
      <w:pPr>
        <w:ind/>
        <w:jc w:val="center"/>
      </w:pPr>
      <w:r>
        <w:drawing>
          <wp:inline>
            <wp:extent cx="6638925" cy="9401174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638925" cy="94011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1000000">
      <w:pPr>
        <w:ind/>
        <w:jc w:val="center"/>
      </w:pPr>
      <w:r>
        <w:drawing>
          <wp:inline>
            <wp:extent cx="6734175" cy="9505949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6734175" cy="95059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2000000">
      <w:pPr>
        <w:ind/>
        <w:jc w:val="center"/>
      </w:pPr>
      <w:r>
        <w:drawing>
          <wp:inline>
            <wp:extent cx="6753225" cy="9534524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753225" cy="95345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3000000">
      <w:pPr>
        <w:sectPr>
          <w:headerReference r:id="rId2" w:type="default"/>
          <w:type w:val="nextPage"/>
          <w:pgSz w:h="16848" w:orient="portrait" w:w="11908"/>
          <w:pgMar w:bottom="567" w:footer="709" w:gutter="0" w:header="709" w:left="1417" w:right="850" w:top="1134"/>
        </w:sectPr>
      </w:pPr>
    </w:p>
    <w:p w14:paraId="54000000">
      <w:pPr>
        <w:ind w:firstLine="0" w:left="-425"/>
        <w:jc w:val="left"/>
      </w:pPr>
      <w:r>
        <w:drawing>
          <wp:inline>
            <wp:extent cx="6677025" cy="9439274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6677025" cy="9439274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1" w:type="default"/>
      <w:type w:val="nextPage"/>
      <w:pgSz w:h="16848" w:orient="portrait" w:w="11908"/>
      <w:pgMar w:bottom="567" w:footer="709" w:gutter="0" w:header="709" w:left="1417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2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3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4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4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1">
    <w:lvl w:ilvl="0">
      <w:start w:val="1"/>
      <w:numFmt w:val="decimal"/>
      <w:lvlText w:val="%1)"/>
      <w:pPr>
        <w:ind w:hanging="360" w:left="720"/>
      </w:pPr>
    </w:lvl>
    <w:lvl w:ilvl="1">
      <w:start w:val="1"/>
      <w:numFmt w:val="russianLower"/>
      <w:lvlText w:val="%2)"/>
      <w:pPr>
        <w:ind w:hanging="360" w:left="1440"/>
      </w:pPr>
    </w:lvl>
    <w:lvl w:ilvl="2">
      <w:start w:val="1"/>
      <w:numFmt w:val="lowerRoman"/>
      <w:lvlText w:val="%3)"/>
      <w:lvlJc w:val="right"/>
      <w:pPr>
        <w:ind w:hanging="360" w:left="2160"/>
      </w:pPr>
    </w:lvl>
    <w:lvl w:ilvl="3">
      <w:start w:val="1"/>
      <w:numFmt w:val="decimal"/>
      <w:lvlText w:val="%4)"/>
      <w:pPr>
        <w:ind w:hanging="360" w:left="2880"/>
      </w:pPr>
    </w:lvl>
    <w:lvl w:ilvl="4">
      <w:start w:val="1"/>
      <w:numFmt w:val="russianLower"/>
      <w:lvlText w:val="%5)"/>
      <w:pPr>
        <w:ind w:hanging="360" w:left="3600"/>
      </w:pPr>
    </w:lvl>
    <w:lvl w:ilvl="5">
      <w:start w:val="1"/>
      <w:numFmt w:val="lowerRoman"/>
      <w:lvlText w:val="%6)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russianLow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toc 2"/>
    <w:next w:val="Style_4"/>
    <w:link w:val="Style_5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5_ch" w:type="character">
    <w:name w:val="toc 2"/>
    <w:link w:val="Style_5"/>
    <w:rPr>
      <w:rFonts w:ascii="XO Thames" w:hAnsi="XO Thames"/>
      <w:sz w:val="28"/>
    </w:rPr>
  </w:style>
  <w:style w:styleId="Style_6" w:type="paragraph">
    <w:name w:val="toc 4"/>
    <w:next w:val="Style_4"/>
    <w:link w:val="Style_6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6_ch" w:type="character">
    <w:name w:val="toc 4"/>
    <w:link w:val="Style_6"/>
    <w:rPr>
      <w:rFonts w:ascii="XO Thames" w:hAnsi="XO Thames"/>
      <w:sz w:val="28"/>
    </w:rPr>
  </w:style>
  <w:style w:styleId="Style_7" w:type="paragraph">
    <w:name w:val="toc 6"/>
    <w:next w:val="Style_4"/>
    <w:link w:val="Style_7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7_ch" w:type="character">
    <w:name w:val="toc 6"/>
    <w:link w:val="Style_7"/>
    <w:rPr>
      <w:rFonts w:ascii="XO Thames" w:hAnsi="XO Thames"/>
      <w:sz w:val="28"/>
    </w:rPr>
  </w:style>
  <w:style w:styleId="Style_8" w:type="paragraph">
    <w:name w:val="toc 7"/>
    <w:next w:val="Style_4"/>
    <w:link w:val="Style_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8_ch" w:type="character">
    <w:name w:val="toc 7"/>
    <w:link w:val="Style_8"/>
    <w:rPr>
      <w:rFonts w:ascii="XO Thames" w:hAnsi="XO Thames"/>
      <w:sz w:val="28"/>
    </w:rPr>
  </w:style>
  <w:style w:styleId="Style_9" w:type="paragraph">
    <w:name w:val="heading 3"/>
    <w:next w:val="Style_4"/>
    <w:link w:val="Style_9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9_ch" w:type="character">
    <w:name w:val="heading 3"/>
    <w:link w:val="Style_9"/>
    <w:rPr>
      <w:rFonts w:ascii="XO Thames" w:hAnsi="XO Thames"/>
      <w:b w:val="1"/>
      <w:sz w:val="26"/>
    </w:rPr>
  </w:style>
  <w:style w:styleId="Style_10" w:type="paragraph">
    <w:name w:val="Balloon Text"/>
    <w:basedOn w:val="Style_4"/>
    <w:link w:val="Style_10_ch"/>
    <w:pPr>
      <w:spacing w:after="0" w:line="240" w:lineRule="auto"/>
      <w:ind/>
    </w:pPr>
    <w:rPr>
      <w:rFonts w:ascii="Segoe UI" w:hAnsi="Segoe UI"/>
      <w:sz w:val="18"/>
    </w:rPr>
  </w:style>
  <w:style w:styleId="Style_10_ch" w:type="character">
    <w:name w:val="Balloon Text"/>
    <w:basedOn w:val="Style_4_ch"/>
    <w:link w:val="Style_10"/>
    <w:rPr>
      <w:rFonts w:ascii="Segoe UI" w:hAnsi="Segoe UI"/>
      <w:sz w:val="18"/>
    </w:rPr>
  </w:style>
  <w:style w:styleId="Style_11" w:type="paragraph">
    <w:name w:val="toc 3"/>
    <w:next w:val="Style_4"/>
    <w:link w:val="Style_11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1_ch" w:type="character">
    <w:name w:val="toc 3"/>
    <w:link w:val="Style_11"/>
    <w:rPr>
      <w:rFonts w:ascii="XO Thames" w:hAnsi="XO Thames"/>
      <w:sz w:val="28"/>
    </w:rPr>
  </w:style>
  <w:style w:styleId="Style_12" w:type="paragraph">
    <w:name w:val="heading 5"/>
    <w:next w:val="Style_4"/>
    <w:link w:val="Style_12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2_ch" w:type="character">
    <w:name w:val="heading 5"/>
    <w:link w:val="Style_12"/>
    <w:rPr>
      <w:rFonts w:ascii="XO Thames" w:hAnsi="XO Thames"/>
      <w:b w:val="1"/>
      <w:sz w:val="22"/>
    </w:rPr>
  </w:style>
  <w:style w:styleId="Style_13" w:type="paragraph">
    <w:name w:val="heading 1"/>
    <w:next w:val="Style_4"/>
    <w:link w:val="Style_13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3_ch" w:type="character">
    <w:name w:val="heading 1"/>
    <w:link w:val="Style_13"/>
    <w:rPr>
      <w:rFonts w:ascii="XO Thames" w:hAnsi="XO Thames"/>
      <w:b w:val="1"/>
      <w:sz w:val="32"/>
    </w:rPr>
  </w:style>
  <w:style w:styleId="Style_1" w:type="paragraph">
    <w:name w:val="header"/>
    <w:basedOn w:val="Style_4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4_ch"/>
    <w:link w:val="Style_1"/>
  </w:style>
  <w:style w:styleId="Style_14" w:type="paragraph">
    <w:name w:val="Hyperlink"/>
    <w:basedOn w:val="Style_15"/>
    <w:link w:val="Style_14_ch"/>
    <w:rPr>
      <w:color w:themeColor="hyperlink" w:val="0563C1"/>
      <w:u w:val="single"/>
    </w:rPr>
  </w:style>
  <w:style w:styleId="Style_14_ch" w:type="character">
    <w:name w:val="Hyperlink"/>
    <w:basedOn w:val="Style_15_ch"/>
    <w:link w:val="Style_14"/>
    <w:rPr>
      <w:color w:themeColor="hyperlink" w:val="0563C1"/>
      <w:u w:val="single"/>
    </w:rPr>
  </w:style>
  <w:style w:styleId="Style_16" w:type="paragraph">
    <w:name w:val="Footnote"/>
    <w:link w:val="Style_16_ch"/>
    <w:pPr>
      <w:ind w:firstLine="851" w:left="0"/>
      <w:jc w:val="both"/>
    </w:pPr>
    <w:rPr>
      <w:rFonts w:ascii="XO Thames" w:hAnsi="XO Thames"/>
      <w:sz w:val="22"/>
    </w:rPr>
  </w:style>
  <w:style w:styleId="Style_16_ch" w:type="character">
    <w:name w:val="Footnote"/>
    <w:link w:val="Style_16"/>
    <w:rPr>
      <w:rFonts w:ascii="XO Thames" w:hAnsi="XO Thames"/>
      <w:sz w:val="22"/>
    </w:rPr>
  </w:style>
  <w:style w:styleId="Style_17" w:type="paragraph">
    <w:name w:val="toc 1"/>
    <w:next w:val="Style_4"/>
    <w:link w:val="Style_17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7_ch" w:type="character">
    <w:name w:val="toc 1"/>
    <w:link w:val="Style_17"/>
    <w:rPr>
      <w:rFonts w:ascii="XO Thames" w:hAnsi="XO Thames"/>
      <w:b w:val="1"/>
      <w:sz w:val="28"/>
    </w:rPr>
  </w:style>
  <w:style w:styleId="Style_18" w:type="paragraph">
    <w:name w:val="Header and Footer"/>
    <w:link w:val="Style_18_ch"/>
    <w:pPr>
      <w:spacing w:line="240" w:lineRule="auto"/>
      <w:ind/>
      <w:jc w:val="both"/>
    </w:pPr>
    <w:rPr>
      <w:rFonts w:ascii="XO Thames" w:hAnsi="XO Thames"/>
      <w:sz w:val="20"/>
    </w:rPr>
  </w:style>
  <w:style w:styleId="Style_18_ch" w:type="character">
    <w:name w:val="Header and Footer"/>
    <w:link w:val="Style_18"/>
    <w:rPr>
      <w:rFonts w:ascii="XO Thames" w:hAnsi="XO Thames"/>
      <w:sz w:val="20"/>
    </w:rPr>
  </w:style>
  <w:style w:styleId="Style_19" w:type="paragraph">
    <w:name w:val="toc 9"/>
    <w:next w:val="Style_4"/>
    <w:link w:val="Style_19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9_ch" w:type="character">
    <w:name w:val="toc 9"/>
    <w:link w:val="Style_19"/>
    <w:rPr>
      <w:rFonts w:ascii="XO Thames" w:hAnsi="XO Thames"/>
      <w:sz w:val="28"/>
    </w:rPr>
  </w:style>
  <w:style w:styleId="Style_20" w:type="paragraph">
    <w:name w:val="footer"/>
    <w:basedOn w:val="Style_4"/>
    <w:link w:val="Style_20_ch"/>
    <w:pPr>
      <w:tabs>
        <w:tab w:leader="none" w:pos="4677" w:val="center"/>
        <w:tab w:leader="none" w:pos="9355" w:val="right"/>
      </w:tabs>
      <w:spacing w:after="0" w:line="240" w:lineRule="auto"/>
      <w:ind/>
    </w:pPr>
    <w:rPr>
      <w:rFonts w:ascii="Times New Roman" w:hAnsi="Times New Roman"/>
      <w:sz w:val="28"/>
    </w:rPr>
  </w:style>
  <w:style w:styleId="Style_20_ch" w:type="character">
    <w:name w:val="footer"/>
    <w:basedOn w:val="Style_4_ch"/>
    <w:link w:val="Style_20"/>
    <w:rPr>
      <w:rFonts w:ascii="Times New Roman" w:hAnsi="Times New Roman"/>
      <w:sz w:val="28"/>
    </w:rPr>
  </w:style>
  <w:style w:styleId="Style_21" w:type="paragraph">
    <w:name w:val="toc 8"/>
    <w:next w:val="Style_4"/>
    <w:link w:val="Style_21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1_ch" w:type="character">
    <w:name w:val="toc 8"/>
    <w:link w:val="Style_21"/>
    <w:rPr>
      <w:rFonts w:ascii="XO Thames" w:hAnsi="XO Thames"/>
      <w:sz w:val="28"/>
    </w:rPr>
  </w:style>
  <w:style w:styleId="Style_22" w:type="paragraph">
    <w:name w:val="toc 5"/>
    <w:next w:val="Style_4"/>
    <w:link w:val="Style_22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2_ch" w:type="character">
    <w:name w:val="toc 5"/>
    <w:link w:val="Style_22"/>
    <w:rPr>
      <w:rFonts w:ascii="XO Thames" w:hAnsi="XO Thames"/>
      <w:sz w:val="28"/>
    </w:rPr>
  </w:style>
  <w:style w:styleId="Style_23" w:type="paragraph">
    <w:name w:val="Plain Text"/>
    <w:basedOn w:val="Style_4"/>
    <w:link w:val="Style_23_ch"/>
    <w:pPr>
      <w:spacing w:after="0" w:line="240" w:lineRule="auto"/>
      <w:ind/>
    </w:pPr>
    <w:rPr>
      <w:rFonts w:ascii="Calibri" w:hAnsi="Calibri"/>
    </w:rPr>
  </w:style>
  <w:style w:styleId="Style_23_ch" w:type="character">
    <w:name w:val="Plain Text"/>
    <w:basedOn w:val="Style_4_ch"/>
    <w:link w:val="Style_23"/>
    <w:rPr>
      <w:rFonts w:ascii="Calibri" w:hAnsi="Calibri"/>
    </w:rPr>
  </w:style>
  <w:style w:styleId="Style_15" w:type="paragraph">
    <w:name w:val="Default Paragraph Font"/>
    <w:link w:val="Style_15_ch"/>
  </w:style>
  <w:style w:styleId="Style_15_ch" w:type="character">
    <w:name w:val="Default Paragraph Font"/>
    <w:link w:val="Style_15"/>
  </w:style>
  <w:style w:styleId="Style_24" w:type="paragraph">
    <w:name w:val="Subtitle"/>
    <w:next w:val="Style_4"/>
    <w:link w:val="Style_24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4_ch" w:type="character">
    <w:name w:val="Subtitle"/>
    <w:link w:val="Style_24"/>
    <w:rPr>
      <w:rFonts w:ascii="XO Thames" w:hAnsi="XO Thames"/>
      <w:i w:val="1"/>
      <w:sz w:val="24"/>
    </w:rPr>
  </w:style>
  <w:style w:styleId="Style_25" w:type="paragraph">
    <w:name w:val="Endnote"/>
    <w:link w:val="Style_25_ch"/>
    <w:pPr>
      <w:ind w:firstLine="851" w:left="0"/>
      <w:jc w:val="both"/>
    </w:pPr>
    <w:rPr>
      <w:rFonts w:ascii="XO Thames" w:hAnsi="XO Thames"/>
      <w:sz w:val="22"/>
    </w:rPr>
  </w:style>
  <w:style w:styleId="Style_25_ch" w:type="character">
    <w:name w:val="Endnote"/>
    <w:link w:val="Style_25"/>
    <w:rPr>
      <w:rFonts w:ascii="XO Thames" w:hAnsi="XO Thames"/>
      <w:sz w:val="22"/>
    </w:rPr>
  </w:style>
  <w:style w:styleId="Style_26" w:type="paragraph">
    <w:name w:val="Title"/>
    <w:next w:val="Style_4"/>
    <w:link w:val="Style_26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6_ch" w:type="character">
    <w:name w:val="Title"/>
    <w:link w:val="Style_26"/>
    <w:rPr>
      <w:rFonts w:ascii="XO Thames" w:hAnsi="XO Thames"/>
      <w:b w:val="1"/>
      <w:caps w:val="1"/>
      <w:sz w:val="40"/>
    </w:rPr>
  </w:style>
  <w:style w:styleId="Style_27" w:type="paragraph">
    <w:name w:val="heading 4"/>
    <w:next w:val="Style_4"/>
    <w:link w:val="Style_27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7_ch" w:type="character">
    <w:name w:val="heading 4"/>
    <w:link w:val="Style_27"/>
    <w:rPr>
      <w:rFonts w:ascii="XO Thames" w:hAnsi="XO Thames"/>
      <w:b w:val="1"/>
      <w:sz w:val="24"/>
    </w:rPr>
  </w:style>
  <w:style w:styleId="Style_28" w:type="paragraph">
    <w:name w:val="heading 2"/>
    <w:next w:val="Style_4"/>
    <w:link w:val="Style_28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8_ch" w:type="character">
    <w:name w:val="heading 2"/>
    <w:link w:val="Style_28"/>
    <w:rPr>
      <w:rFonts w:ascii="XO Thames" w:hAnsi="XO Thames"/>
      <w:b w:val="1"/>
      <w:sz w:val="28"/>
    </w:rPr>
  </w:style>
  <w:style w:styleId="Style_29" w:type="table">
    <w:name w:val="Сетка таблицы1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30" w:type="table">
    <w:name w:val="Сетка таблицы2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" w:type="table">
    <w:name w:val="Table Grid"/>
    <w:basedOn w:val="Style_2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styles.xml" Type="http://schemas.openxmlformats.org/officeDocument/2006/relationships/styles"/>
  <Relationship Id="rId11" Target="fontTable.xml" Type="http://schemas.openxmlformats.org/officeDocument/2006/relationships/fontTable"/>
  <Relationship Id="rId17" Target="numbering.xml" Type="http://schemas.openxmlformats.org/officeDocument/2006/relationships/numbering"/>
  <Relationship Id="rId10" Target="media/6.jpeg" Type="http://schemas.openxmlformats.org/officeDocument/2006/relationships/image"/>
  <Relationship Id="rId15" Target="webSettings.xml" Type="http://schemas.openxmlformats.org/officeDocument/2006/relationships/webSettings"/>
  <Relationship Id="rId9" Target="media/5.jpeg" Type="http://schemas.openxmlformats.org/officeDocument/2006/relationships/image"/>
  <Relationship Id="rId8" Target="media/4.jpeg" Type="http://schemas.openxmlformats.org/officeDocument/2006/relationships/image"/>
  <Relationship Id="rId7" Target="media/3.jpeg" Type="http://schemas.openxmlformats.org/officeDocument/2006/relationships/image"/>
  <Relationship Id="rId14" Target="stylesWithEffects.xml" Type="http://schemas.microsoft.com/office/2007/relationships/stylesWithEffects"/>
  <Relationship Id="rId6" Target="media/2.jpeg" Type="http://schemas.openxmlformats.org/officeDocument/2006/relationships/image"/>
  <Relationship Id="rId5" Target="media/1.jpeg" Type="http://schemas.openxmlformats.org/officeDocument/2006/relationships/image"/>
  <Relationship Id="rId4" Target="header4.xml" Type="http://schemas.openxmlformats.org/officeDocument/2006/relationships/header"/>
  <Relationship Id="rId16" Target="theme/theme1.xml" Type="http://schemas.openxmlformats.org/officeDocument/2006/relationships/theme"/>
  <Relationship Id="rId12" Target="settings.xml" Type="http://schemas.openxmlformats.org/officeDocument/2006/relationships/settings"/>
  <Relationship Id="rId3" Target="header3.xml" Type="http://schemas.openxmlformats.org/officeDocument/2006/relationships/header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2024-08-07T05:10:22Z</dcterms:modified>
</cp:coreProperties>
</file>