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1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26"/>
                <wp:lineTo x="20638" y="20626"/>
                <wp:lineTo x="20638" y="0"/>
                <wp:lineTo x="-317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жилищно-коммунального хозяйства и энергетики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соответствии с пунктом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остановлением Правительства Российской Федерации от 23.05.2206 № 306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жилищно-коммунального хозяйства и энергетики Камчатского края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»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изложив его в редакции, согласно приложению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 хозяйства и энергетики Камчатского края</w:t>
      </w:r>
    </w:p>
    <w:tbl>
      <w:tblPr>
        <w:tblStyle w:val="Style_4"/>
        <w:tblW w:w="4576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72"/>
        <w:gridCol w:w="486"/>
        <w:gridCol w:w="1699"/>
      </w:tblGrid>
      <w:tr>
        <w:trPr/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aps w:val="false"/>
                <w:smallCaps w:val="false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 хозяйства и энергетики Камчатского края</w:t>
      </w:r>
    </w:p>
    <w:tbl>
      <w:tblPr>
        <w:tblStyle w:val="Style_4"/>
        <w:tblW w:w="4431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69"/>
        <w:gridCol w:w="530"/>
        <w:gridCol w:w="1455"/>
      </w:tblGrid>
      <w:tr>
        <w:trPr>
          <w:trHeight w:val="362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10.08.2017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AMP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557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Нормативы потребления коммунальной услуги холодного (горячего) водоснабжения в жилых помещениях в муниципальных образованиях расположенных в границах Елизовского муниципального района</w:t>
      </w:r>
    </w:p>
    <w:tbl>
      <w:tblPr>
        <w:tblW w:w="990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2"/>
        <w:gridCol w:w="2733"/>
        <w:gridCol w:w="1169"/>
        <w:gridCol w:w="1246"/>
        <w:gridCol w:w="1694"/>
        <w:gridCol w:w="2265"/>
      </w:tblGrid>
      <w:tr>
        <w:trPr>
          <w:tblHeader w:val="true"/>
          <w:trHeight w:val="1098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>
        <w:trPr>
          <w:trHeight w:val="375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Елизовское городское поселение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централизованным холодным водоснабжением, водонагревателями, водоотведением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без централизованного водоотведения,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оборудованные унитазами, раковинами, мойками,  ваннами длиной 1500-1550 мм с душем и отсутствием водоразбора из системы теплоснабжения (круглогодично)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1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централизованным холодным водоснабжением,  с водонагревателями (на период отсутствия ГВС),  с водоотведением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без централизованного водоотведения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оборудованные унитазами, раковинами, мойками,  ваннами длиной 1500-1550  мм с душем.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11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и горячим водоснабжением,  водоотведением/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 xml:space="preserve"> без централизованного водоотведения,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оборудованные унитазами, раковинами, мойками,  ваннами длиной 1500-1550  мм с душем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</w:tr>
      <w:tr>
        <w:trPr>
          <w:trHeight w:val="3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 ваннами длиной 1500-1550  мм с душем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2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и горячим водоснабжением,  водоотведением, оборудованные унитазами, раковинами, мойками,  душами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>
        <w:trPr>
          <w:trHeight w:val="181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 душами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>
        <w:trPr>
          <w:trHeight w:val="7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и горячим водоснабжением,  водоотведением, оборудованные унитазами, раковинами, мойками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>
        <w:trPr>
          <w:trHeight w:val="7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>
        <w:trPr>
          <w:trHeight w:val="1116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52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водоснабжением, водоотведением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>
        <w:trPr>
          <w:trHeight w:val="7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>
        <w:trPr>
          <w:trHeight w:val="69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184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и горячим водоснабжением, водоотведением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>
        <w:trPr>
          <w:trHeight w:val="55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86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>
        <w:trPr>
          <w:trHeight w:val="1098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06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мойками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578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 мойками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1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C9211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15.</w:t>
            </w:r>
          </w:p>
        </w:tc>
        <w:tc>
          <w:tcPr>
            <w:tcW w:w="2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Жилые дома (коттеджи улучшенного типа, таунхаусы) с централизованным холодным и горячим водоснабжением, с водоотведением/без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val="en-US" w:eastAsia="ru-RU"/>
              </w:rPr>
              <w:t>8,98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7,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val="en-US" w:eastAsia="ru-RU"/>
              </w:rPr>
              <w:t>84</w:t>
            </w:r>
          </w:p>
        </w:tc>
      </w:tr>
      <w:tr>
        <w:trPr>
          <w:trHeight w:val="71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C9211E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Calibri" w:hAnsi="Calibri" w:asciiTheme="minorAscii" w:hAnsiTheme="minorHAnsi"/>
                <w:color w:val="000000"/>
                <w:highlight w:val="none"/>
                <w:shd w:fill="auto" w:val="clear"/>
              </w:rPr>
            </w:pPr>
            <w:r>
              <w:rPr>
                <w:rFonts w:asciiTheme="minorAscii" w:hAnsiTheme="minorHAnsi"/>
                <w:color w:val="000000"/>
                <w:shd w:fill="auto" w:val="clear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val="en-US" w:eastAsia="ru-RU"/>
              </w:rPr>
              <w:t>8,98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7,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val="en-US" w:eastAsia="ru-RU"/>
              </w:rPr>
              <w:t>84</w:t>
            </w:r>
          </w:p>
        </w:tc>
      </w:tr>
      <w:tr>
        <w:trPr>
          <w:trHeight w:val="71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(коттеджи улучшенного типа, таунхаусы) с централизованным холодным  водоснабжением, без горячего водоснабжения, с водонагревателя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ми, с   водоотведением/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без централизованного водоотведения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, оборудованные унитаза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ми, раковинами, мойками, ваннами длиной 1500-1550 мм с душем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2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7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Корякское сельское поселение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6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</w:tr>
      <w:tr>
        <w:trPr>
          <w:trHeight w:val="10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46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водонагревателями, водоотведением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/без централизованного водоотведения,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оборудованные унитазами, раковинами, мойками, ваннами длиной 1500-1550 мм с душем и отсутствием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водоразбора из системы теплоснабжения (круглогодично)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87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 мм с душем.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553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88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46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кабинами,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 xml:space="preserve"> и отсутствием водоразбора из системы теплоснабжения (круглогодично)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72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1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Раздольненское сельское поселение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>
        <w:trPr>
          <w:trHeight w:val="10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78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>
        <w:trPr>
          <w:trHeight w:val="2569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</w:tr>
      <w:tr>
        <w:trPr>
          <w:trHeight w:val="432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Паратунское сельское поселение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с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22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с горячим водоснабжением при открытой системе т/с, 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>
        <w:trPr>
          <w:trHeight w:val="9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74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  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>
        <w:trPr>
          <w:trHeight w:val="69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мойками и унитазами.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69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 унитазами.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6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раковинами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1254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Вулканное городское поселение</w:t>
            </w:r>
          </w:p>
        </w:tc>
      </w:tr>
      <w:tr>
        <w:trPr>
          <w:trHeight w:val="52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4,654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4,083</w:t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5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8,737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54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71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3,293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0,785</w:t>
            </w:r>
          </w:p>
        </w:tc>
      </w:tr>
      <w:tr>
        <w:trPr>
          <w:trHeight w:val="11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4,078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214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   с ваннами с душем, с централизованным холодным водоснабжением, с горячим водоснабжением при открытой системе т/с,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4,083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   с ваннами с душем, с централизованным холодным водоснабжением, с водонагревателями (на период отсутствия ГВС),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214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с душами, с централизованным холодным водоснабжением, с горячим водоснабжением при открытой системе т/с,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2,911</w:t>
            </w:r>
          </w:p>
        </w:tc>
      </w:tr>
      <w:tr>
        <w:trPr>
          <w:trHeight w:val="14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с душами, с централизованным холодным водоснабжением, с водонагревателями (на период отсутствия ГВС),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319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Новоавачинское сельское поселение</w:t>
            </w:r>
          </w:p>
        </w:tc>
      </w:tr>
      <w:tr>
        <w:trPr>
          <w:trHeight w:val="54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4,329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>
        <w:trPr>
          <w:trHeight w:val="54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 мм с душем.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7,159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89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94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водонагревателями, и отсутствием водоразбора из системы т/с (круглогодично), с водоотведением/без централизованного водоотведения,оборудован-ные унитазами, раковинами, мойками, ваннами длиной 1500-1550 мм с душем.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7,159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32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 с душами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>
        <w:trPr>
          <w:trHeight w:val="120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  централизованного водоотведения, оборудованные  мойками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927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 xml:space="preserve"> и отсутствием водоразбора из системы теплоснабжения (круглогодично)</w:t>
            </w:r>
          </w:p>
        </w:tc>
        <w:tc>
          <w:tcPr>
            <w:tcW w:w="11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2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79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21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443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Новолесновское сельское поселение</w:t>
            </w:r>
          </w:p>
        </w:tc>
      </w:tr>
      <w:tr>
        <w:trPr>
          <w:trHeight w:val="48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>
        <w:trPr>
          <w:trHeight w:val="69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2-этажные коттеджи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3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2727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127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4-х этажный многоквартирный жилой дом, во 2-м подъезде  которого 1 и 2 этажи используются в качестве общежития, оборудованные унитазами, мойками, общими душевыми, с централизованным холодным водоснабжением, с горячим водоснабжением из открытой системы т/с., без централизованного водоотведения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</w:tr>
      <w:tr>
        <w:trPr>
          <w:trHeight w:val="127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59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Пионерское сельское поселение</w:t>
            </w:r>
          </w:p>
        </w:tc>
      </w:tr>
      <w:tr>
        <w:trPr>
          <w:trHeight w:val="54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4,27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2,92</w:t>
            </w:r>
          </w:p>
        </w:tc>
      </w:tr>
      <w:tr>
        <w:trPr>
          <w:trHeight w:val="54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hd w:fill="auto" w:val="clear"/>
                <w:lang w:eastAsia="ru-RU"/>
              </w:rPr>
              <w:t>дома с централизованным холодным водоснабжением, с водонагревателями, водоотведением/без централизованного водоотведения,и отсутствием водоразбора из системы т/с (круглогодично), оборудованные унитазами, раковинами, мойками, ваннами длиной 1500-1550 мм с душем.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7,19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shd w:fill="auto" w:val="clear"/>
              </w:rPr>
              <w:t>__</w:t>
            </w:r>
          </w:p>
        </w:tc>
      </w:tr>
      <w:tr>
        <w:trPr>
          <w:trHeight w:val="49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Asci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  <w:t>3.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Многоквартирные и жилые дома с централизованным холодным водоснабжением, с водонагреватлями (на период отсутствия ГВС),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7,19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__</w:t>
            </w:r>
          </w:p>
        </w:tc>
      </w:tr>
      <w:tr>
        <w:trPr>
          <w:trHeight w:val="45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358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Asci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3,83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2,44</w:t>
            </w:r>
          </w:p>
        </w:tc>
      </w:tr>
      <w:tr>
        <w:trPr>
          <w:trHeight w:val="1408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>
                <w:rFonts w:ascii="Calibri" w:hAnsi="Calibri" w:asciiTheme="minorAscii" w:hAnsiTheme="minorHAnsi"/>
                <w:highlight w:val="none"/>
                <w:shd w:fill="auto" w:val="clear"/>
              </w:rPr>
            </w:pPr>
            <w:r>
              <w:rPr>
                <w:rFonts w:asciiTheme="minorAscii" w:hAnsiTheme="minorHAnsi"/>
                <w:shd w:fill="auto" w:val="clear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>
          <w:trHeight w:val="108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5.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2,56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1,59</w:t>
            </w:r>
          </w:p>
        </w:tc>
      </w:tr>
      <w:tr>
        <w:trPr>
          <w:trHeight w:val="1080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hd w:fill="auto" w:val="clear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hd w:fill="auto" w:val="clear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hd w:fill="auto" w:val="clear"/>
                <w:lang w:eastAsia="ru-RU"/>
              </w:rPr>
            </w:r>
          </w:p>
        </w:tc>
      </w:tr>
      <w:tr>
        <w:trPr>
          <w:trHeight w:val="202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6.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Дома, использующиеся в качестве общежитий, оборудованные унитазами, раковинами, мойками,  с душевыми при жилых комнатах в каждой секции,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1,83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2,1</w:t>
            </w:r>
          </w:p>
        </w:tc>
      </w:tr>
      <w:tr>
        <w:trPr>
          <w:trHeight w:val="1789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7.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Жилые дома без водонагревателей с водопроводом, без  централизованного водоотведения, оборудованные унитазами,  раковинами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1,52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640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 xml:space="preserve"> 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 xml:space="preserve"> отсутствием водоразбора из системы теплоснабжения (круглогодично)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2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>
        <w:trPr>
          <w:trHeight w:val="88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3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Начикинское сельское поселение</w:t>
            </w:r>
          </w:p>
        </w:tc>
      </w:tr>
      <w:tr>
        <w:trPr>
          <w:trHeight w:val="139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водопроводом,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145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(коттеджного типа с печным отоплением)  с водопроводом,   водоотведением,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189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(коттеджного типа с печным отоплением)  с водопроводом,   без централизованного водоотведения, оборудованные унитазами, раковинами, мойками,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 ваннами длиной 1500-1550мм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2,796</w:t>
            </w:r>
          </w:p>
        </w:tc>
      </w:tr>
      <w:tr>
        <w:trPr>
          <w:trHeight w:val="49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Николаевское сельское поселение</w:t>
            </w:r>
          </w:p>
        </w:tc>
      </w:tr>
      <w:tr>
        <w:trPr>
          <w:trHeight w:val="525" w:hRule="atLeast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04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 с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>
        <w:trPr>
          <w:trHeight w:val="1545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водоотведением, оборудованные унитазами, раковинами, мойками,  ваннами длиной 1500-1550 мм с душем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>
        <w:trPr>
          <w:trHeight w:val="135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 мойками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</w:tbl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Примечание:</w:t>
      </w:r>
    </w:p>
    <w:p>
      <w:pPr>
        <w:pStyle w:val="Normal"/>
        <w:spacing w:lineRule="auto" w:line="240" w:before="0" w:after="0"/>
        <w:ind w:hanging="0" w:left="0" w:righ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-28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ab/>
        <w:t>1. Нормативы потребления коммунальной услуги по холодному (горячему) водоснабжению в жилых помещениях установлены с применением расчетного метода.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-28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2. Норматив потребления коммунальной услуги 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-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3. Норматив потребления коммунальной услуги по водоотведению равен сумме нормативов холодного и горячего водоснабжения (при наличии централизованного водоотведения).</w:t>
      </w:r>
      <w:r>
        <w:rPr>
          <w:rFonts w:ascii="Times New Roman" w:hAnsi="Times New Roman"/>
          <w:sz w:val="28"/>
        </w:rPr>
        <w:t>».</w:t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851" w:gutter="0" w:header="709" w:top="1134" w:footer="0" w:bottom="79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84">
              <wp:simplePos x="0" y="0"/>
              <wp:positionH relativeFrom="margin">
                <wp:posOffset>2856230</wp:posOffset>
              </wp:positionH>
              <wp:positionV relativeFrom="paragraph">
                <wp:posOffset>635</wp:posOffset>
              </wp:positionV>
              <wp:extent cx="222250" cy="16954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24.9pt;margin-top:0.05pt;width:17.45pt;height:13.3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2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Textbody">
    <w:name w:val="Text body"/>
    <w:link w:val="Textbody1"/>
    <w:qFormat/>
    <w:rPr/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одержимое врезки"/>
    <w:link w:val="19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0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Указатель"/>
    <w:link w:val="1111111111111111112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List1">
    <w:name w:val="List1"/>
    <w:basedOn w:val="Textbody"/>
    <w:qFormat/>
    <w:rPr/>
  </w:style>
  <w:style w:type="character" w:styleId="Style12">
    <w:name w:val="Заголовок"/>
    <w:link w:val="1111111111111111111"/>
    <w:qFormat/>
    <w:rPr>
      <w:rFonts w:ascii="Liberation Sans" w:hAnsi="Liberation San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cs="Ari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cs="Arial"/>
    </w:rPr>
  </w:style>
  <w:style w:type="paragraph" w:styleId="1111111111111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2">
    <w:name w:val="Указатель1111111111111"/>
    <w:basedOn w:val="Normal"/>
    <w:qFormat/>
    <w:pPr>
      <w:suppressLineNumbers/>
    </w:pPr>
    <w:rPr>
      <w:rFonts w:cs="Arial"/>
    </w:rPr>
  </w:style>
  <w:style w:type="paragraph" w:styleId="11111111111111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2">
    <w:name w:val="Указатель11111111111111"/>
    <w:basedOn w:val="Normal"/>
    <w:qFormat/>
    <w:pPr>
      <w:suppressLineNumbers/>
    </w:pPr>
    <w:rPr>
      <w:rFonts w:cs="Arial"/>
    </w:rPr>
  </w:style>
  <w:style w:type="paragraph" w:styleId="111111111111111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2">
    <w:name w:val="Указатель111111111111111"/>
    <w:basedOn w:val="Normal"/>
    <w:qFormat/>
    <w:pPr>
      <w:suppressLineNumbers/>
    </w:pPr>
    <w:rPr>
      <w:rFonts w:cs="Arial"/>
    </w:rPr>
  </w:style>
  <w:style w:type="paragraph" w:styleId="1111111111111111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2">
    <w:name w:val="Указатель1111111111111111"/>
    <w:basedOn w:val="Normal"/>
    <w:qFormat/>
    <w:pPr>
      <w:suppressLineNumbers/>
    </w:pPr>
    <w:rPr>
      <w:rFonts w:cs="Arial"/>
    </w:rPr>
  </w:style>
  <w:style w:type="paragraph" w:styleId="11111111111111111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2">
    <w:name w:val="Указатель11111111111111111"/>
    <w:basedOn w:val="Normal"/>
    <w:qFormat/>
    <w:pPr>
      <w:suppressLineNumbers/>
    </w:pPr>
    <w:rPr>
      <w:rFonts w:cs="Arial"/>
    </w:rPr>
  </w:style>
  <w:style w:type="paragraph" w:styleId="1111111111111111111">
    <w:name w:val="Заголовок111111111111111111"/>
    <w:basedOn w:val="Normal"/>
    <w:next w:val="BodyText"/>
    <w:link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12">
    <w:name w:val="Указатель111111111111111111"/>
    <w:basedOn w:val="Normal"/>
    <w:link w:val="Style11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3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">
    <w:name w:val="Колонтитул13"/>
    <w:basedOn w:val="Normal"/>
    <w:qFormat/>
    <w:pPr/>
    <w:rPr/>
  </w:style>
  <w:style w:type="paragraph" w:styleId="14">
    <w:name w:val="Колонтитул14"/>
    <w:basedOn w:val="Normal"/>
    <w:qFormat/>
    <w:pPr/>
    <w:rPr/>
  </w:style>
  <w:style w:type="paragraph" w:styleId="15">
    <w:name w:val="Колонтитул15"/>
    <w:basedOn w:val="Normal"/>
    <w:qFormat/>
    <w:pPr/>
    <w:rPr/>
  </w:style>
  <w:style w:type="paragraph" w:styleId="16">
    <w:name w:val="Колонтитул16"/>
    <w:basedOn w:val="Normal"/>
    <w:qFormat/>
    <w:pPr/>
    <w:rPr/>
  </w:style>
  <w:style w:type="paragraph" w:styleId="17">
    <w:name w:val="Колонтитул17"/>
    <w:basedOn w:val="Normal"/>
    <w:qFormat/>
    <w:pPr/>
    <w:rPr/>
  </w:style>
  <w:style w:type="paragraph" w:styleId="18">
    <w:name w:val="Колонтитул18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1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9">
    <w:name w:val="Содержимое врезки1"/>
    <w:basedOn w:val="Normal"/>
    <w:link w:val="Style9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21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41">
    <w:name w:val="Содержимое врезки4"/>
    <w:basedOn w:val="Normal"/>
    <w:qFormat/>
    <w:pPr/>
    <w:rPr/>
  </w:style>
  <w:style w:type="paragraph" w:styleId="51">
    <w:name w:val="Содержимое врезки5"/>
    <w:basedOn w:val="Normal"/>
    <w:qFormat/>
    <w:pPr/>
    <w:rPr/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101">
    <w:name w:val="Содержимое врезки10"/>
    <w:basedOn w:val="Normal"/>
    <w:qFormat/>
    <w:pPr/>
    <w:rPr/>
  </w:style>
  <w:style w:type="paragraph" w:styleId="114">
    <w:name w:val="Содержимое врезки11"/>
    <w:basedOn w:val="Normal"/>
    <w:qFormat/>
    <w:pPr/>
    <w:rPr/>
  </w:style>
  <w:style w:type="paragraph" w:styleId="122">
    <w:name w:val="Содержимое врезки12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paragraph" w:styleId="141">
    <w:name w:val="Содержимое врезки14"/>
    <w:basedOn w:val="Normal"/>
    <w:qFormat/>
    <w:pPr/>
    <w:rPr/>
  </w:style>
  <w:style w:type="paragraph" w:styleId="151">
    <w:name w:val="Содержимое врезки15"/>
    <w:basedOn w:val="Normal"/>
    <w:qFormat/>
    <w:pPr/>
    <w:rPr/>
  </w:style>
  <w:style w:type="paragraph" w:styleId="161">
    <w:name w:val="Содержимое врезки16"/>
    <w:basedOn w:val="Normal"/>
    <w:qFormat/>
    <w:pPr/>
    <w:rPr/>
  </w:style>
  <w:style w:type="paragraph" w:styleId="171">
    <w:name w:val="Содержимое врезки17"/>
    <w:basedOn w:val="Normal"/>
    <w:qFormat/>
    <w:pPr/>
    <w:rPr/>
  </w:style>
  <w:style w:type="paragraph" w:styleId="181">
    <w:name w:val="Содержимое врезки18"/>
    <w:basedOn w:val="Normal"/>
    <w:qFormat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9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Application>LibreOffice/24.2.3.2$Windows_X86_64 LibreOffice_project/433d9c2ded56988e8a90e6b2e771ee4e6a5ab2ba</Application>
  <AppVersion>15.0000</AppVersion>
  <Pages>15</Pages>
  <Words>2696</Words>
  <Characters>17717</Characters>
  <CharactersWithSpaces>20003</CharactersWithSpaces>
  <Paragraphs>563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2024-05-17T09:40:32Z</cp:lastPrinted>
  <dcterms:modified xsi:type="dcterms:W3CDTF">2024-07-30T11:49:31Z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