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5" w:type="dxa"/>
        <w:jc w:val="left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pacing w:val="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постановление Правительства Камчатского края от 23.08.2021 № 369-П «Об утверждении Порядка предоставления в 2022–2024 годах грантов в форме субсидий субъектам малого и среднего предпринимательства, включенным в реестр социальных предпринимателей»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Правительства Камчатского края от 23.08.2021 № 369-П «Об утверждении Порядка предоставления в 2022–2024 годах грантов в форме субсидий субъектам малого и среднего предпринимательства, включенным в реестр социальных предпринимателей» следующие измен</w:t>
      </w:r>
      <w:r>
        <w:rPr>
          <w:rFonts w:ascii="Times New Roman" w:hAnsi="Times New Roman"/>
          <w:sz w:val="28"/>
          <w:szCs w:val="28"/>
        </w:rPr>
        <w:t>ения:</w:t>
      </w:r>
    </w:p>
    <w:p>
      <w:pPr>
        <w:pStyle w:val="Normal"/>
        <w:widowControl/>
        <w:tabs>
          <w:tab w:val="clear" w:pos="708"/>
          <w:tab w:val="left" w:pos="1185" w:leader="none"/>
        </w:tabs>
        <w:spacing w:lineRule="auto" w:line="240" w:before="0" w:after="0"/>
        <w:ind w:firstLine="737" w:left="5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</w:rPr>
        <w:t>пункт 1 части 13 изложить в следующей редакции:</w:t>
      </w:r>
    </w:p>
    <w:p>
      <w:pPr>
        <w:pStyle w:val="Normal"/>
        <w:tabs>
          <w:tab w:val="clear" w:pos="708"/>
          <w:tab w:val="left" w:pos="114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 признанные социальным предприятием в порядке, установленном в соответствии с частью 3 статьи 24.1 Федеральным законом от 24.07.2007</w:t>
        <w:br/>
        <w:t>№ 209-ФЗ «О развитии малого и среднего предпринимательства в Российской Федерации» (далее - Федеральный закон № 209-ФЗ), сведения о которых внесены в единый реестр субъектов малого и среднего предпринимательства в период с 10 июля по 31 декабря текущего календарного года;»;</w:t>
      </w:r>
    </w:p>
    <w:p>
      <w:pPr>
        <w:pStyle w:val="Normal"/>
        <w:tabs>
          <w:tab w:val="clear" w:pos="708"/>
          <w:tab w:val="left" w:pos="114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пункт 2 части 13 признать утратившим силу; 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абзац 1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85 изложить в следующей редакции: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«85. Срок представления доработанной участником отбора заявки в системе «Электронный бюджет» не должен превышать 10 рабочих дней со дня возврата ему заявки на доработку и быть позднее 5 рабочих дней до окончания первого этапа конкурса, указанного в объявлении.»;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части 97 слова «25» заменить словами «45»;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5) приложение 3 изложить в редакции согласно приложению к настоящему постановлению.</w:t>
      </w:r>
    </w:p>
    <w:p>
      <w:pPr>
        <w:pStyle w:val="Normal"/>
        <w:tabs>
          <w:tab w:val="clear" w:pos="708"/>
          <w:tab w:val="left" w:pos="1185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со</w:t>
        <w:br/>
        <w:t>дня вступлен</w:t>
      </w:r>
      <w:r>
        <w:rPr>
          <w:rFonts w:ascii="Times New Roman" w:hAnsi="Times New Roman"/>
          <w:sz w:val="28"/>
        </w:rPr>
        <w:t>ия в законную силу постановления Правительства Камчатского</w:t>
        <w:br/>
        <w:t>края от 23.08.2021 № 369-П «Об утверждении Порядка предоставления в</w:t>
        <w:br/>
        <w:t>2022–2024 годах грантов в форме субсидий субъектам малого и среднего предпринимательства, включенным в реестр социальных предпринимателей».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71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2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Style_3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80"/>
        <w:gridCol w:w="481"/>
        <w:gridCol w:w="3664"/>
        <w:gridCol w:w="480"/>
        <w:gridCol w:w="1869"/>
        <w:gridCol w:w="488"/>
        <w:gridCol w:w="1695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BodyText"/>
        <w:pageBreakBefore w:val="false"/>
        <w:rPr/>
      </w:pPr>
      <w:r>
        <w:rPr/>
      </w:r>
    </w:p>
    <w:tbl>
      <w:tblPr>
        <w:tblStyle w:val="Style_2"/>
        <w:tblW w:w="4678" w:type="dxa"/>
        <w:jc w:val="left"/>
        <w:tblInd w:w="4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</w:tblGrid>
      <w:tr>
        <w:trPr/>
        <w:tc>
          <w:tcPr>
            <w:tcW w:w="46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«Приложение 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к Порядку предоставления в </w:t>
              <w:br/>
              <w:t>2024 году грантов в форме субсидий субъектам малого и среднего предпринимательства, включенным в реестр социальных предпринимателей, и проведения отбора получателей субсидий</w:t>
            </w:r>
          </w:p>
        </w:tc>
      </w:tr>
    </w:tbl>
    <w:p>
      <w:pPr>
        <w:pStyle w:val="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оценки заявок участников </w:t>
      </w:r>
      <w:r>
        <w:rPr>
          <w:rFonts w:ascii="Times New Roman" w:hAnsi="Times New Roman"/>
          <w:sz w:val="28"/>
          <w:shd w:fill="auto" w:val="clear"/>
        </w:rPr>
        <w:t xml:space="preserve">отбора для предоставления грантов в форме субсидий субъектам малого и среднего предпринимательства, включенным в реестр социальных предпринимателей, и проведения отбора получателей субсидий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shd w:fill="FFD821" w:val="clear"/>
        </w:rPr>
      </w:r>
    </w:p>
    <w:tbl>
      <w:tblPr>
        <w:tblStyle w:val="Style_3"/>
        <w:tblW w:w="9733" w:type="dxa"/>
        <w:jc w:val="left"/>
        <w:tblInd w:w="-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915"/>
        <w:gridCol w:w="4117"/>
        <w:gridCol w:w="1417"/>
        <w:gridCol w:w="1667"/>
      </w:tblGrid>
      <w:tr>
        <w:trPr>
          <w:tblHeader w:val="true"/>
        </w:trPr>
        <w:tc>
          <w:tcPr>
            <w:tcW w:w="6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п/п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критерия оценки заявок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показателя критерия оценки заявок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Удельный вес критерия оценки, величина значимости</w:t>
            </w:r>
          </w:p>
        </w:tc>
        <w:tc>
          <w:tcPr>
            <w:tcW w:w="166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Максимальное значение показателя критерия, баллов</w:t>
            </w:r>
          </w:p>
        </w:tc>
      </w:tr>
      <w:tr>
        <w:trPr>
          <w:tblHeader w:val="true"/>
        </w:trPr>
        <w:tc>
          <w:tcPr>
            <w:tcW w:w="6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915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</w:tr>
      <w:tr>
        <w:trPr>
          <w:trHeight w:val="3367" w:hRule="atLeast"/>
        </w:trPr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Территориальный признак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реализует проект на земельных участках, предоставленных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0,02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>
          <w:trHeight w:val="3915" w:hRule="atLeast"/>
        </w:trPr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реализует проект в:</w:t>
            </w:r>
          </w:p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 городском округе «поселок Палана» Камчатского края;</w:t>
            </w:r>
          </w:p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 Карагинском муниципальном районе Камчатского края;</w:t>
            </w:r>
          </w:p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 Тигильском муниципальном округе Камчатского края;</w:t>
            </w:r>
          </w:p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 Олюторском муниципальном районе Камчатского края;</w:t>
            </w:r>
          </w:p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 Соболевском муниципальном районе Камчатского края;</w:t>
            </w:r>
          </w:p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 Пенжинском муниципальном районе Камчатского края;</w:t>
            </w:r>
          </w:p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 Алеутском муниципальном округе в Камчатском крае</w:t>
            </w:r>
          </w:p>
          <w:p>
            <w:pPr>
              <w:pStyle w:val="Normal"/>
              <w:widowControl/>
              <w:tabs>
                <w:tab w:val="clear" w:pos="708"/>
                <w:tab w:val="left" w:pos="275" w:leader="none"/>
              </w:tabs>
              <w:suppressAutoHyphens w:val="true"/>
              <w:spacing w:lineRule="auto" w:line="240" w:before="0" w:after="0"/>
              <w:ind w:hanging="0" w:left="3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>
          <w:trHeight w:val="837" w:hRule="atLeast"/>
        </w:trPr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не реализует проект на вышеуказанных приоритетных территориях Камчатского края.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1771" w:hRule="atLeast"/>
        </w:trPr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Приоритетные виды деятельности</w:t>
            </w:r>
          </w:p>
        </w:tc>
        <w:tc>
          <w:tcPr>
            <w:tcW w:w="41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осуществляет один из следующих видов предпринимательской деятельности: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1) производство продукции;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2) деятельность туристических агентств и туроператоров;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3) осуществляет деятельность согласно кодам 55.10, 55.20, 55.30 Общероссийского классификатора видов экономической деятельности (ОК 029-2014 (КДЕС Ред. 2);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4) деятельность в области спорта;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5) образование в области спорта и отдыха;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6) общественное питание;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7) сельское хозяйство;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8) сбор, обработка, переработка и утилизация отходов и/или производство продукции из вторичного сырья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9) деятельность народных художественных промыслов;</w:t>
            </w:r>
          </w:p>
          <w:p>
            <w:pPr>
              <w:pStyle w:val="Normal"/>
              <w:widowControl/>
              <w:tabs>
                <w:tab w:val="clear" w:pos="708"/>
                <w:tab w:val="left" w:pos="250" w:leader="none"/>
              </w:tabs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10) ремесленная деятельность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493" w:leader="none"/>
              </w:tabs>
              <w:suppressAutoHyphens w:val="true"/>
              <w:spacing w:lineRule="auto" w:line="240" w:before="0" w:after="0"/>
              <w:ind w:hanging="0" w:left="34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0,02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Иные виды деятельности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Уникальность проекта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Обозначена и аргументирована уникальность проекта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0,05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Проект не уникален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488" w:hRule="atLeast"/>
        </w:trPr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Обоснованность практической значимости проекта для реального сектора экономики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0,05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>
          <w:trHeight w:val="488" w:hRule="atLeast"/>
        </w:trPr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Представлена краткая информация о возможности практического применения проекта на территории Камчатского края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>
          <w:trHeight w:val="488" w:hRule="atLeast"/>
        </w:trPr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Отсутствие практической значимости для Камчатского края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Оценка бизнес-плана.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Описание предприятия и отрасли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Раздел содержит подробную информацию о проекте, описана сезонность и особенности ведения бизнеса, описана необходимость и наличие разрешительных документов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0,12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разделе нет описаний особенностей ведения бизнеса, не описана сезонность, имеются несоответствия с другими разделами бизнес-плана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Не все разделы заполнены, либо некоторые вопросы остались без ответа, представлена очень краткая информация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Оценка бизнес-плана.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Анализ рынка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разделе указаны потенциальные покупатели и конкуренты, подробно описаны детали, характеризующие покупателей, недостатки и преимущества конкурентов, предоставлена полная информация о том, как производился анализ рынка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0,16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разделе анализ рынка указаны потенциальные покупатели и конкуренты, но не указаны детали, описывающие покупателей, недостатки и преимущества конкурентов, нет информации о том, как была получена информация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Не все разделы заполнены, либо некоторые вопросы остались без ответа, представлена очень краткая информация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Оценка бизнес-плана.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План маркетинга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Раздел содержит подробное описание таких частей маркетингового плана, как ассортимент и привлекательные качества товара или услуги, ценообразование, способы продвижения товара или услуги, информацию о затратах, которые необходимо понести для реализации данного плана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0,16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Маркетинговый план содержит описание только тех действий, которые отвечают за распространение информации о данном предприятии (реклама), действия описаны без подробных деталей, нет информации о затратах, которые необходимо понести для реализации данного плана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Не все разделы заполнены, либо некоторые вопросы остались без ответа, представлена очень краткая информация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Оценка бизнес-плана.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Производственный план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Раздел содержит подробную информацию о наличии основных средств или материалов (в том числе за счет средств финансовой поддержки), описание процесса, описание планируемого дохода, информация в разделе подтверждает способность заявителя получить запланированный доход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0,16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Раздел не содержит информацию, которая позволяет оценить способность субъекта малого и среднего предпринимательства получить запланированный доход, доход указан без учета сезонности, есть не соответствия по организации осуществления деятельности и количеству работников субъекта малого и среднего предпринимательства, занятых в осуществлении деятельности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Не все разделы заполнены, либо некоторые вопросы остались без ответа, представлена очень краткая информация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Оценка бизнес-плана.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План движения денежных средств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План движения денежных средств содержит все статьи расходов, данные в плане движения средств соответствуют бизнес-плану и законодательству Российской Федерации, доходы отражены с учетом сезонности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0,16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План движения денежных средств содержит не все статьи расходов, данные в плане движения денежных средств содержат несоответствия с бизнес-планом в одном – двух пунктах, доходы отражены без учета сезонности, есть несоответствия законодательству Российской Федерации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План движения денежных средств содержит не все статьи расходов, данные в плане движения средств содержат несоответствия с бизнес-планом в более чем 2 пунктах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Описание проекта при защите бизнес-проекта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Подробно описан реализуемый проект, информация представлена в полном объеме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0,02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Кратко описан реализуемый проект, информация представлена не в полном объеме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не смог принять участие в защите проекта лично либо обеспечить присутствие на защите своего законного представителя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Описание этапов реализации проекта при защите бизнес-проекта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Подробно описаны этапы реализации проекта, информация об их реализации предоставлена в полном объеме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0,02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Кратко описаны этапы реализации проекта, информация представлена не в полном объеме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не смог принять участие в защите проекта лично либо обеспечить присутствие на защите своего законного представителя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Описание стоимости проекта, направлений расходования средств субсидии, источников привлечения финансирования при защите бизнес-проекта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Подробно описаны стоимость проекта, направления расходования средств субсидии, источники привлечения финансирования, информация представлена в полном объеме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0,02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Кратко описаны стоимость проекта, направления расходования средств субсидии, источники привлечения финансирования, информация представлена не в полном объеме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не смог принять участие в защите проекта лично либо обеспечить присутствие на защите своего законного представителя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Описание результата реализации проекта при защите бизнес-проекта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Подробно описан результат реализации проекта, информация представлена в полном объеме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0,02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Кратко описан результат реализации проекта, информация представлена не в полном объеме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не смог принять участие в защите проекта лично либо обеспечить присутствие на защите своего законного представителя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933" w:hRule="atLeast"/>
        </w:trPr>
        <w:tc>
          <w:tcPr>
            <w:tcW w:w="617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14.</w:t>
            </w:r>
          </w:p>
        </w:tc>
        <w:tc>
          <w:tcPr>
            <w:tcW w:w="1915" w:type="dxa"/>
            <w:vMerge w:val="restart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Ответы на вопросы при защите бизнес-проекта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Ответы на вопросы хорошо аргументированы и демонстрируют осведомленность в теме</w:t>
            </w:r>
          </w:p>
        </w:tc>
        <w:tc>
          <w:tcPr>
            <w:tcW w:w="141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0,02</w:t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Ответы на вопросы не в полной мере аргументированы и не демонстрируют осведомленность в теме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20</w:t>
            </w:r>
          </w:p>
        </w:tc>
      </w:tr>
      <w:tr>
        <w:trPr/>
        <w:tc>
          <w:tcPr>
            <w:tcW w:w="617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5" w:type="dxa"/>
            <w:vMerge w:val="continue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Участник отбора не смог принять участие в защите проекта лично либо обеспечить присутствие на защите своего законного представителя</w:t>
            </w:r>
          </w:p>
        </w:tc>
        <w:tc>
          <w:tcPr>
            <w:tcW w:w="14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ind w:hanging="0" w:left="0" w:right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667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</w:tbl>
    <w:p>
      <w:pPr>
        <w:pStyle w:val="Normal"/>
        <w:ind w:hanging="0" w:left="0" w:right="-2"/>
        <w:jc w:val="right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».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1418" w:leader="none"/>
        </w:tabs>
        <w:spacing w:before="0" w:after="160"/>
        <w:jc w:val="both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"/>
    <w:qFormat/>
    <w:rPr/>
  </w:style>
  <w:style w:type="character" w:styleId="Heading11">
    <w:name w:val="Heading 11"/>
    <w:link w:val="Heading111"/>
    <w:qFormat/>
    <w:rPr>
      <w:rFonts w:ascii="XO Thames" w:hAnsi="XO Thames"/>
      <w:b/>
      <w:sz w:val="32"/>
    </w:rPr>
  </w:style>
  <w:style w:type="character" w:styleId="11">
    <w:name w:val="Основной шрифт абзаца11"/>
    <w:link w:val="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link w:val="Contents62"/>
    <w:qFormat/>
    <w:rPr>
      <w:rFonts w:ascii="XO Thames" w:hAnsi="XO Thames"/>
      <w:sz w:val="28"/>
    </w:rPr>
  </w:style>
  <w:style w:type="character" w:styleId="Contents61">
    <w:name w:val="Contents 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Header1">
    <w:name w:val="Header1"/>
    <w:qFormat/>
    <w:rPr/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Style9">
    <w:name w:val="Указатель"/>
    <w:link w:val="114"/>
    <w:qFormat/>
    <w:rPr/>
  </w:style>
  <w:style w:type="character" w:styleId="Heading51">
    <w:name w:val="Heading 51"/>
    <w:link w:val="Heading511"/>
    <w:qFormat/>
    <w:rPr>
      <w:rFonts w:ascii="XO Thames" w:hAnsi="XO Thames"/>
      <w:b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Textbody">
    <w:name w:val="Text body"/>
    <w:qFormat/>
    <w:rPr/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111">
    <w:name w:val="Гиперссылка11"/>
    <w:basedOn w:val="11"/>
    <w:link w:val="1112"/>
    <w:qFormat/>
    <w:rPr>
      <w:color w:themeColor="hyperlink" w:val="0563C1"/>
      <w:u w:val="single"/>
    </w:rPr>
  </w:style>
  <w:style w:type="character" w:styleId="Style10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Caption1">
    <w:name w:val="Caption1"/>
    <w:qFormat/>
    <w:rPr>
      <w:i/>
      <w:sz w:val="24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112">
    <w:name w:val="Обычный11"/>
    <w:link w:val="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Footer11">
    <w:name w:val="Footer11"/>
    <w:link w:val="Footer12"/>
    <w:qFormat/>
    <w:rPr>
      <w:rFonts w:ascii="Times New Roman" w:hAnsi="Times New Roman"/>
      <w:sz w:val="28"/>
    </w:rPr>
  </w:style>
  <w:style w:type="character" w:styleId="Style11">
    <w:name w:val="Заголовок"/>
    <w:link w:val="113"/>
    <w:qFormat/>
    <w:rPr>
      <w:rFonts w:ascii="Open Sans" w:hAnsi="Open Sans"/>
      <w:sz w:val="28"/>
    </w:rPr>
  </w:style>
  <w:style w:type="character" w:styleId="Internetlink">
    <w:name w:val="Internet link"/>
    <w:link w:val="Internetlink2"/>
    <w:qFormat/>
    <w:rPr>
      <w:rFonts w:ascii="Calibri" w:hAnsi="Calibri"/>
      <w:color w:val="0000FF"/>
      <w:spacing w:val="0"/>
      <w:sz w:val="22"/>
      <w:u w:val="single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er11">
    <w:name w:val="Header11"/>
    <w:link w:val="Header12"/>
    <w:qFormat/>
    <w:rPr/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Style12">
    <w:name w:val="Символ нумерации"/>
    <w:qFormat/>
    <w:rPr/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"/>
    </w:rPr>
  </w:style>
  <w:style w:type="paragraph" w:styleId="113">
    <w:name w:val="Заголовок11"/>
    <w:basedOn w:val="Normal"/>
    <w:next w:val="BodyText"/>
    <w:link w:val="Style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4">
    <w:name w:val="Указатель11"/>
    <w:basedOn w:val="Normal"/>
    <w:link w:val="Style9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">
    <w:name w:val="Колонтитул2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111">
    <w:name w:val="Основной шрифт абзаца111"/>
    <w:link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">
    <w:name w:val="Contents 62"/>
    <w:link w:val="Contents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12">
    <w:name w:val="Гиперссылка111"/>
    <w:basedOn w:val="1111"/>
    <w:link w:val="111"/>
    <w:qFormat/>
    <w:pPr/>
    <w:rPr>
      <w:color w:themeColor="hyperlink" w:val="0563C1"/>
      <w:u w:val="single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1113">
    <w:name w:val="Обычный111"/>
    <w:link w:val="112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7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8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LibreOffice/7.6.7.2$Linux_X86_64 LibreOffice_project/60$Build-2</Application>
  <AppVersion>15.0000</AppVersion>
  <Pages>7</Pages>
  <Words>1339</Words>
  <Characters>9108</Characters>
  <CharactersWithSpaces>10396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2024-07-25T17:27:29Z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