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184" w:rsidRDefault="000B181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052184" w:rsidRDefault="000B181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постановления Правительства Камчатского края</w:t>
      </w:r>
    </w:p>
    <w:p w:rsidR="005879E4" w:rsidRPr="005879E4" w:rsidRDefault="000B181B" w:rsidP="005879E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79E4">
        <w:rPr>
          <w:rFonts w:ascii="Times New Roman" w:hAnsi="Times New Roman"/>
          <w:sz w:val="28"/>
          <w:szCs w:val="28"/>
        </w:rPr>
        <w:t>«</w:t>
      </w:r>
      <w:r w:rsidR="005879E4" w:rsidRPr="00587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принятии в Камчатском крае решения о подготовке единого документа</w:t>
      </w:r>
    </w:p>
    <w:p w:rsidR="005879E4" w:rsidRPr="005879E4" w:rsidRDefault="005879E4" w:rsidP="005879E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7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территориального планирования и градостроительного зонирования</w:t>
      </w:r>
    </w:p>
    <w:p w:rsidR="005879E4" w:rsidRPr="005879E4" w:rsidRDefault="005879E4" w:rsidP="005879E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7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поселения, муниципального округа, городского округа, решение</w:t>
      </w:r>
    </w:p>
    <w:p w:rsidR="005879E4" w:rsidRPr="005879E4" w:rsidRDefault="005879E4" w:rsidP="005879E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7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подготовке изменений в единый документ территориального</w:t>
      </w:r>
    </w:p>
    <w:p w:rsidR="005879E4" w:rsidRPr="005879E4" w:rsidRDefault="005879E4" w:rsidP="005879E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7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планирования и градостроительного зонирования поселения,</w:t>
      </w:r>
    </w:p>
    <w:p w:rsidR="000771F3" w:rsidRPr="005879E4" w:rsidRDefault="005879E4" w:rsidP="005879E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7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округа, городского округа</w:t>
      </w:r>
      <w:r w:rsidR="000771F3" w:rsidRPr="000771F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F0C4A" w:rsidRDefault="00BF0C4A" w:rsidP="00BF0C4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F1E" w:rsidRDefault="00BF0C4A" w:rsidP="005879E4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</w:t>
      </w:r>
      <w:r w:rsidRPr="00C67C64">
        <w:rPr>
          <w:rFonts w:ascii="Times New Roman" w:hAnsi="Times New Roman" w:cs="Times New Roman"/>
          <w:sz w:val="28"/>
          <w:szCs w:val="28"/>
        </w:rPr>
        <w:t xml:space="preserve">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C67C64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>
        <w:rPr>
          <w:rFonts w:ascii="Times New Roman" w:hAnsi="Times New Roman" w:cs="Times New Roman"/>
          <w:sz w:val="28"/>
          <w:szCs w:val="28"/>
        </w:rPr>
        <w:t>Камчатского края «</w:t>
      </w:r>
      <w:r w:rsidR="005879E4" w:rsidRPr="005879E4">
        <w:rPr>
          <w:rFonts w:ascii="Times New Roman" w:hAnsi="Times New Roman" w:cs="Times New Roman"/>
          <w:sz w:val="28"/>
          <w:szCs w:val="28"/>
        </w:rPr>
        <w:t>О принятии в Камчатском крае решения о подготовке единого документа</w:t>
      </w:r>
      <w:r w:rsidR="005879E4">
        <w:rPr>
          <w:rFonts w:ascii="Times New Roman" w:hAnsi="Times New Roman" w:cs="Times New Roman"/>
          <w:sz w:val="28"/>
          <w:szCs w:val="28"/>
        </w:rPr>
        <w:t xml:space="preserve"> </w:t>
      </w:r>
      <w:r w:rsidR="005879E4" w:rsidRPr="005879E4">
        <w:rPr>
          <w:rFonts w:ascii="Times New Roman" w:hAnsi="Times New Roman" w:cs="Times New Roman"/>
          <w:sz w:val="28"/>
          <w:szCs w:val="28"/>
        </w:rPr>
        <w:t>территориального планирования и градостроительного зонирования</w:t>
      </w:r>
      <w:r w:rsidR="005879E4">
        <w:rPr>
          <w:rFonts w:ascii="Times New Roman" w:hAnsi="Times New Roman" w:cs="Times New Roman"/>
          <w:sz w:val="28"/>
          <w:szCs w:val="28"/>
        </w:rPr>
        <w:t xml:space="preserve"> </w:t>
      </w:r>
      <w:r w:rsidR="005879E4" w:rsidRPr="005879E4">
        <w:rPr>
          <w:rFonts w:ascii="Times New Roman" w:hAnsi="Times New Roman" w:cs="Times New Roman"/>
          <w:sz w:val="28"/>
          <w:szCs w:val="28"/>
        </w:rPr>
        <w:t>поселения, муниципального округа, городского округа, решение</w:t>
      </w:r>
      <w:r w:rsidR="005879E4">
        <w:rPr>
          <w:rFonts w:ascii="Times New Roman" w:hAnsi="Times New Roman" w:cs="Times New Roman"/>
          <w:sz w:val="28"/>
          <w:szCs w:val="28"/>
        </w:rPr>
        <w:t xml:space="preserve"> </w:t>
      </w:r>
      <w:r w:rsidR="005879E4" w:rsidRPr="005879E4">
        <w:rPr>
          <w:rFonts w:ascii="Times New Roman" w:hAnsi="Times New Roman" w:cs="Times New Roman"/>
          <w:sz w:val="28"/>
          <w:szCs w:val="28"/>
        </w:rPr>
        <w:t>о подготовке изменений в единый документ территориального</w:t>
      </w:r>
      <w:r w:rsidR="005879E4">
        <w:rPr>
          <w:rFonts w:ascii="Times New Roman" w:hAnsi="Times New Roman" w:cs="Times New Roman"/>
          <w:sz w:val="28"/>
          <w:szCs w:val="28"/>
        </w:rPr>
        <w:t xml:space="preserve"> </w:t>
      </w:r>
      <w:r w:rsidR="005879E4" w:rsidRPr="005879E4">
        <w:rPr>
          <w:rFonts w:ascii="Times New Roman" w:hAnsi="Times New Roman" w:cs="Times New Roman"/>
          <w:sz w:val="28"/>
          <w:szCs w:val="28"/>
        </w:rPr>
        <w:t>планирования и градостроительного зонирования поселения,</w:t>
      </w:r>
      <w:r w:rsidR="005879E4">
        <w:rPr>
          <w:rFonts w:ascii="Times New Roman" w:hAnsi="Times New Roman" w:cs="Times New Roman"/>
          <w:sz w:val="28"/>
          <w:szCs w:val="28"/>
        </w:rPr>
        <w:t xml:space="preserve"> </w:t>
      </w:r>
      <w:r w:rsidR="005879E4" w:rsidRPr="005879E4">
        <w:rPr>
          <w:rFonts w:ascii="Times New Roman" w:hAnsi="Times New Roman" w:cs="Times New Roman"/>
          <w:sz w:val="28"/>
          <w:szCs w:val="28"/>
        </w:rPr>
        <w:t>муниципального округа, городского округа</w:t>
      </w:r>
      <w:r w:rsidR="00FB533F" w:rsidRPr="00FB533F">
        <w:rPr>
          <w:rFonts w:ascii="Times New Roman" w:hAnsi="Times New Roman" w:cs="Times New Roman"/>
          <w:sz w:val="28"/>
          <w:szCs w:val="28"/>
        </w:rPr>
        <w:t>»</w:t>
      </w:r>
      <w:r w:rsidRPr="0017680C">
        <w:rPr>
          <w:rFonts w:ascii="Times New Roman" w:hAnsi="Times New Roman" w:cs="Times New Roman"/>
          <w:sz w:val="28"/>
          <w:szCs w:val="28"/>
        </w:rPr>
        <w:t xml:space="preserve"> (далее – 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17680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разработан</w:t>
      </w:r>
      <w:r w:rsidRPr="0017680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соответствии с</w:t>
      </w:r>
      <w:r w:rsidRPr="004D798F">
        <w:rPr>
          <w:rFonts w:ascii="Times New Roman" w:hAnsi="Times New Roman" w:cs="Times New Roman"/>
          <w:sz w:val="28"/>
          <w:szCs w:val="28"/>
        </w:rPr>
        <w:t xml:space="preserve"> частью </w:t>
      </w:r>
      <w:r w:rsidR="005879E4" w:rsidRPr="005879E4">
        <w:rPr>
          <w:rFonts w:ascii="Times New Roman" w:hAnsi="Times New Roman" w:cs="Times New Roman"/>
          <w:sz w:val="28"/>
          <w:szCs w:val="28"/>
        </w:rPr>
        <w:t>5 статьи 28</w:t>
      </w:r>
      <w:r w:rsidR="005879E4" w:rsidRPr="005879E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5879E4" w:rsidRPr="005879E4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частью 4 статьи 8</w:t>
      </w:r>
      <w:r w:rsidR="005879E4" w:rsidRPr="005879E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5879E4" w:rsidRPr="005879E4">
        <w:rPr>
          <w:rFonts w:ascii="Times New Roman" w:hAnsi="Times New Roman" w:cs="Times New Roman"/>
          <w:sz w:val="28"/>
          <w:szCs w:val="28"/>
        </w:rPr>
        <w:t xml:space="preserve"> Закона Камчатского края от 14.11.2012 № 160 «О регулировании отдельных вопросов градостроительной деятельности в Камчатском крае»</w:t>
      </w:r>
      <w:r w:rsidR="00E47F1E">
        <w:rPr>
          <w:rFonts w:ascii="Times New Roman" w:hAnsi="Times New Roman" w:cs="Times New Roman"/>
          <w:sz w:val="28"/>
          <w:szCs w:val="28"/>
        </w:rPr>
        <w:t>.</w:t>
      </w:r>
    </w:p>
    <w:p w:rsidR="00BF0C4A" w:rsidRPr="000735C8" w:rsidRDefault="00BF0C4A" w:rsidP="00BF0C4A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5C8">
        <w:rPr>
          <w:rFonts w:ascii="Times New Roman" w:hAnsi="Times New Roman" w:cs="Times New Roman"/>
          <w:sz w:val="28"/>
          <w:szCs w:val="28"/>
        </w:rPr>
        <w:t>Проект постановления не подлежит оценке регулирующего воздействия в соответствии с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</w:t>
      </w:r>
      <w:r w:rsidR="00E113EC">
        <w:rPr>
          <w:rFonts w:ascii="Times New Roman" w:hAnsi="Times New Roman" w:cs="Times New Roman"/>
          <w:sz w:val="28"/>
          <w:szCs w:val="28"/>
        </w:rPr>
        <w:t xml:space="preserve"> </w:t>
      </w:r>
      <w:r w:rsidRPr="000735C8">
        <w:rPr>
          <w:rFonts w:ascii="Times New Roman" w:hAnsi="Times New Roman" w:cs="Times New Roman"/>
          <w:sz w:val="28"/>
          <w:szCs w:val="28"/>
        </w:rPr>
        <w:t xml:space="preserve">от </w:t>
      </w:r>
      <w:r w:rsidR="00A8450F" w:rsidRPr="00A8450F">
        <w:rPr>
          <w:rFonts w:ascii="Times New Roman" w:hAnsi="Times New Roman" w:cs="Times New Roman"/>
          <w:sz w:val="28"/>
          <w:szCs w:val="28"/>
        </w:rPr>
        <w:t>28</w:t>
      </w:r>
      <w:r w:rsidRPr="000735C8">
        <w:rPr>
          <w:rFonts w:ascii="Times New Roman" w:hAnsi="Times New Roman" w:cs="Times New Roman"/>
          <w:sz w:val="28"/>
          <w:szCs w:val="28"/>
        </w:rPr>
        <w:t>.0</w:t>
      </w:r>
      <w:r w:rsidR="00A8450F" w:rsidRPr="00A8450F">
        <w:rPr>
          <w:rFonts w:ascii="Times New Roman" w:hAnsi="Times New Roman" w:cs="Times New Roman"/>
          <w:sz w:val="28"/>
          <w:szCs w:val="28"/>
        </w:rPr>
        <w:t>9</w:t>
      </w:r>
      <w:r w:rsidRPr="000735C8">
        <w:rPr>
          <w:rFonts w:ascii="Times New Roman" w:hAnsi="Times New Roman" w:cs="Times New Roman"/>
          <w:sz w:val="28"/>
          <w:szCs w:val="28"/>
        </w:rPr>
        <w:t>.20</w:t>
      </w:r>
      <w:r w:rsidR="00A8450F" w:rsidRPr="00A8450F">
        <w:rPr>
          <w:rFonts w:ascii="Times New Roman" w:hAnsi="Times New Roman" w:cs="Times New Roman"/>
          <w:sz w:val="28"/>
          <w:szCs w:val="28"/>
        </w:rPr>
        <w:t>22</w:t>
      </w:r>
      <w:r w:rsidRPr="000735C8">
        <w:rPr>
          <w:rFonts w:ascii="Times New Roman" w:hAnsi="Times New Roman" w:cs="Times New Roman"/>
          <w:sz w:val="28"/>
          <w:szCs w:val="28"/>
        </w:rPr>
        <w:t xml:space="preserve"> № </w:t>
      </w:r>
      <w:r w:rsidR="00A8450F" w:rsidRPr="00A8450F">
        <w:rPr>
          <w:rFonts w:ascii="Times New Roman" w:hAnsi="Times New Roman" w:cs="Times New Roman"/>
          <w:sz w:val="28"/>
          <w:szCs w:val="28"/>
        </w:rPr>
        <w:t>510</w:t>
      </w:r>
      <w:r w:rsidRPr="000735C8">
        <w:rPr>
          <w:rFonts w:ascii="Times New Roman" w:hAnsi="Times New Roman" w:cs="Times New Roman"/>
          <w:sz w:val="28"/>
          <w:szCs w:val="28"/>
        </w:rPr>
        <w:t xml:space="preserve">-П «Об утверждении Порядка проведения оценки регулирующего воздействия проектов нормативных правовых актов Камчатского края и </w:t>
      </w:r>
      <w:r w:rsidR="00A8450F">
        <w:rPr>
          <w:rFonts w:ascii="Times New Roman" w:hAnsi="Times New Roman" w:cs="Times New Roman"/>
          <w:sz w:val="28"/>
          <w:szCs w:val="28"/>
        </w:rPr>
        <w:t xml:space="preserve">порядка проведения </w:t>
      </w:r>
      <w:r w:rsidRPr="000735C8">
        <w:rPr>
          <w:rFonts w:ascii="Times New Roman" w:hAnsi="Times New Roman" w:cs="Times New Roman"/>
          <w:sz w:val="28"/>
          <w:szCs w:val="28"/>
        </w:rPr>
        <w:t>экспертизы нормативных правовых актов Камчатского края».</w:t>
      </w:r>
    </w:p>
    <w:p w:rsidR="00BF0C4A" w:rsidRDefault="00BF0C4A" w:rsidP="00BF0C4A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5C8">
        <w:rPr>
          <w:rFonts w:ascii="Times New Roman" w:hAnsi="Times New Roman" w:cs="Times New Roman"/>
          <w:sz w:val="28"/>
          <w:szCs w:val="28"/>
        </w:rPr>
        <w:t>Настоящий проект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5433EC">
        <w:rPr>
          <w:rFonts w:ascii="Times New Roman" w:hAnsi="Times New Roman" w:cs="Times New Roman"/>
          <w:sz w:val="28"/>
          <w:szCs w:val="28"/>
        </w:rPr>
        <w:t xml:space="preserve"> </w:t>
      </w:r>
      <w:r w:rsidR="005879E4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879E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735C8">
        <w:rPr>
          <w:rFonts w:ascii="Times New Roman" w:hAnsi="Times New Roman" w:cs="Times New Roman"/>
          <w:sz w:val="28"/>
          <w:szCs w:val="28"/>
        </w:rPr>
        <w:t>202</w:t>
      </w:r>
      <w:r w:rsidR="00A8450F">
        <w:rPr>
          <w:rFonts w:ascii="Times New Roman" w:hAnsi="Times New Roman" w:cs="Times New Roman"/>
          <w:sz w:val="28"/>
          <w:szCs w:val="28"/>
        </w:rPr>
        <w:t>4</w:t>
      </w:r>
      <w:r w:rsidRPr="000735C8">
        <w:rPr>
          <w:rFonts w:ascii="Times New Roman" w:hAnsi="Times New Roman" w:cs="Times New Roman"/>
          <w:sz w:val="28"/>
          <w:szCs w:val="28"/>
        </w:rPr>
        <w:t xml:space="preserve"> размещен на официальном сайте исполнительных органов государственной власти Камчатского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5C8">
        <w:rPr>
          <w:rFonts w:ascii="Times New Roman" w:hAnsi="Times New Roman" w:cs="Times New Roman"/>
          <w:sz w:val="28"/>
          <w:szCs w:val="28"/>
        </w:rPr>
        <w:t>края</w:t>
      </w:r>
      <w:r>
        <w:rPr>
          <w:rFonts w:ascii="Times New Roman" w:hAnsi="Times New Roman" w:cs="Times New Roman"/>
          <w:sz w:val="28"/>
          <w:szCs w:val="28"/>
        </w:rPr>
        <w:t xml:space="preserve"> в сети Интернет для проведения </w:t>
      </w:r>
      <w:r w:rsidRPr="000735C8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5879E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56F24">
        <w:rPr>
          <w:rFonts w:ascii="Times New Roman" w:hAnsi="Times New Roman" w:cs="Times New Roman"/>
          <w:sz w:val="28"/>
          <w:szCs w:val="28"/>
        </w:rPr>
        <w:t>.0</w:t>
      </w:r>
      <w:r w:rsidR="005879E4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Pr="00556F24">
        <w:rPr>
          <w:rFonts w:ascii="Times New Roman" w:hAnsi="Times New Roman" w:cs="Times New Roman"/>
          <w:sz w:val="28"/>
          <w:szCs w:val="28"/>
        </w:rPr>
        <w:t>.202</w:t>
      </w:r>
      <w:r w:rsidR="00A8450F">
        <w:rPr>
          <w:rFonts w:ascii="Times New Roman" w:hAnsi="Times New Roman" w:cs="Times New Roman"/>
          <w:sz w:val="28"/>
          <w:szCs w:val="28"/>
        </w:rPr>
        <w:t>4</w:t>
      </w:r>
      <w:r w:rsidRPr="00556F24">
        <w:rPr>
          <w:rFonts w:ascii="Times New Roman" w:hAnsi="Times New Roman" w:cs="Times New Roman"/>
          <w:sz w:val="28"/>
          <w:szCs w:val="28"/>
        </w:rPr>
        <w:t xml:space="preserve"> независимой</w:t>
      </w:r>
      <w:r w:rsidRPr="000735C8">
        <w:rPr>
          <w:rFonts w:ascii="Times New Roman" w:hAnsi="Times New Roman" w:cs="Times New Roman"/>
          <w:sz w:val="28"/>
          <w:szCs w:val="28"/>
        </w:rPr>
        <w:t xml:space="preserve"> антикоррупционной экспертизы.</w:t>
      </w:r>
    </w:p>
    <w:p w:rsidR="00BF0C4A" w:rsidRDefault="00BF0C4A" w:rsidP="00BF0C4A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Pr="000735C8">
        <w:rPr>
          <w:rFonts w:ascii="Times New Roman" w:hAnsi="Times New Roman" w:cs="Times New Roman"/>
          <w:sz w:val="28"/>
          <w:szCs w:val="28"/>
        </w:rPr>
        <w:t xml:space="preserve">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Правительства Камчатского края </w:t>
      </w:r>
      <w:r w:rsidRPr="000735C8">
        <w:rPr>
          <w:rFonts w:ascii="Times New Roman" w:hAnsi="Times New Roman" w:cs="Times New Roman"/>
          <w:sz w:val="28"/>
          <w:szCs w:val="28"/>
        </w:rPr>
        <w:t>не потребует дополнительн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735C8">
        <w:rPr>
          <w:rFonts w:ascii="Times New Roman" w:hAnsi="Times New Roman" w:cs="Times New Roman"/>
          <w:sz w:val="28"/>
          <w:szCs w:val="28"/>
        </w:rPr>
        <w:t xml:space="preserve"> финанс</w:t>
      </w:r>
      <w:r>
        <w:rPr>
          <w:rFonts w:ascii="Times New Roman" w:hAnsi="Times New Roman" w:cs="Times New Roman"/>
          <w:sz w:val="28"/>
          <w:szCs w:val="28"/>
        </w:rPr>
        <w:t>ирования</w:t>
      </w:r>
      <w:r w:rsidRPr="000735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0735C8">
        <w:rPr>
          <w:rFonts w:ascii="Times New Roman" w:hAnsi="Times New Roman" w:cs="Times New Roman"/>
          <w:sz w:val="28"/>
          <w:szCs w:val="28"/>
        </w:rPr>
        <w:t>средств краевого бюджета.</w:t>
      </w:r>
    </w:p>
    <w:p w:rsidR="00BF0C4A" w:rsidRDefault="00BF0C4A" w:rsidP="00BF0C4A">
      <w:pPr>
        <w:widowControl w:val="0"/>
        <w:tabs>
          <w:tab w:val="left" w:pos="1418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F0C4A" w:rsidRDefault="00BF0C4A" w:rsidP="00BF0C4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F0C4A">
      <w:headerReference w:type="default" r:id="rId6"/>
      <w:headerReference w:type="first" r:id="rId7"/>
      <w:pgSz w:w="11906" w:h="16838"/>
      <w:pgMar w:top="1134" w:right="851" w:bottom="1134" w:left="1418" w:header="567" w:footer="0" w:gutter="0"/>
      <w:pgNumType w:start="1"/>
      <w:cols w:space="720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9D8" w:rsidRDefault="007409D8">
      <w:pPr>
        <w:spacing w:after="0" w:line="240" w:lineRule="auto"/>
      </w:pPr>
      <w:r>
        <w:separator/>
      </w:r>
    </w:p>
  </w:endnote>
  <w:endnote w:type="continuationSeparator" w:id="0">
    <w:p w:rsidR="007409D8" w:rsidRDefault="00740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9D8" w:rsidRDefault="007409D8">
      <w:pPr>
        <w:spacing w:after="0" w:line="240" w:lineRule="auto"/>
      </w:pPr>
      <w:r>
        <w:separator/>
      </w:r>
    </w:p>
  </w:footnote>
  <w:footnote w:type="continuationSeparator" w:id="0">
    <w:p w:rsidR="007409D8" w:rsidRDefault="00740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184" w:rsidRDefault="000B181B">
    <w:pPr>
      <w:pStyle w:val="af5"/>
      <w:jc w:val="center"/>
      <w:rPr>
        <w:rFonts w:ascii="Times New Roman" w:hAnsi="Times New Roman" w:cs="Times New Roman"/>
        <w:sz w:val="28"/>
      </w:rPr>
    </w:pPr>
    <w:r>
      <w:fldChar w:fldCharType="begin"/>
    </w:r>
    <w:r>
      <w:rPr>
        <w:rFonts w:ascii="Times New Roman" w:hAnsi="Times New Roman"/>
        <w:sz w:val="28"/>
      </w:rPr>
      <w:fldChar w:fldCharType="end"/>
    </w: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 PAGE </w:instrText>
    </w:r>
    <w:r>
      <w:rPr>
        <w:rFonts w:ascii="Times New Roman" w:hAnsi="Times New Roman"/>
        <w:sz w:val="28"/>
      </w:rPr>
      <w:fldChar w:fldCharType="separate"/>
    </w:r>
    <w:r w:rsidR="000771F3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052184" w:rsidRDefault="00052184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184" w:rsidRDefault="00052184">
    <w:pPr>
      <w:pStyle w:val="af5"/>
      <w:jc w:val="center"/>
      <w:rPr>
        <w:sz w:val="20"/>
      </w:rPr>
    </w:pPr>
  </w:p>
  <w:p w:rsidR="00052184" w:rsidRDefault="00052184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84"/>
    <w:rsid w:val="00052184"/>
    <w:rsid w:val="000771F3"/>
    <w:rsid w:val="000B181B"/>
    <w:rsid w:val="005879E4"/>
    <w:rsid w:val="00646CC7"/>
    <w:rsid w:val="007409D8"/>
    <w:rsid w:val="00A8450F"/>
    <w:rsid w:val="00B57379"/>
    <w:rsid w:val="00BF0C4A"/>
    <w:rsid w:val="00D36682"/>
    <w:rsid w:val="00E113EC"/>
    <w:rsid w:val="00E47F1E"/>
    <w:rsid w:val="00FB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2FCDA5-D7CE-4FE4-B4A5-22525265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uiPriority="0" w:qFormat="1"/>
    <w:lsdException w:name="caption" w:uiPriority="0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0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1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1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styleId="a7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10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8">
    <w:name w:val="Название Знак"/>
    <w:basedOn w:val="a0"/>
    <w:link w:val="a9"/>
    <w:uiPriority w:val="10"/>
    <w:qFormat/>
    <w:rPr>
      <w:sz w:val="48"/>
      <w:szCs w:val="48"/>
    </w:rPr>
  </w:style>
  <w:style w:type="character" w:customStyle="1" w:styleId="aa">
    <w:name w:val="Подзаголовок Знак"/>
    <w:basedOn w:val="a0"/>
    <w:link w:val="ab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c">
    <w:name w:val="Выделенная цитата Знак"/>
    <w:link w:val="ad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ae">
    <w:name w:val="Текст сноски Знак"/>
    <w:link w:val="af"/>
    <w:uiPriority w:val="99"/>
    <w:qFormat/>
    <w:rPr>
      <w:sz w:val="18"/>
    </w:rPr>
  </w:style>
  <w:style w:type="character" w:customStyle="1" w:styleId="af0">
    <w:name w:val="Текст концевой сноски Знак"/>
    <w:link w:val="af1"/>
    <w:uiPriority w:val="99"/>
    <w:qFormat/>
    <w:rPr>
      <w:sz w:val="20"/>
    </w:rPr>
  </w:style>
  <w:style w:type="character" w:customStyle="1" w:styleId="af2">
    <w:name w:val="Текст выноски Знак"/>
    <w:basedOn w:val="a0"/>
    <w:link w:val="af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bx-messenger-ajax">
    <w:name w:val="bx-messenger-ajax"/>
    <w:basedOn w:val="a0"/>
    <w:qFormat/>
  </w:style>
  <w:style w:type="character" w:customStyle="1" w:styleId="af4">
    <w:name w:val="Верхний колонтитул Знак"/>
    <w:basedOn w:val="a0"/>
    <w:link w:val="af5"/>
    <w:uiPriority w:val="99"/>
    <w:qFormat/>
  </w:style>
  <w:style w:type="character" w:customStyle="1" w:styleId="af6">
    <w:name w:val="Нижний колонтитул Знак"/>
    <w:basedOn w:val="a0"/>
    <w:link w:val="af7"/>
    <w:uiPriority w:val="99"/>
    <w:qFormat/>
  </w:style>
  <w:style w:type="character" w:customStyle="1" w:styleId="11">
    <w:name w:val="Обычный1"/>
    <w:qFormat/>
    <w:rPr>
      <w:rFonts w:asciiTheme="minorHAnsi" w:hAnsiTheme="minorHAnsi"/>
      <w:color w:val="000000"/>
      <w:sz w:val="22"/>
    </w:rPr>
  </w:style>
  <w:style w:type="paragraph" w:customStyle="1" w:styleId="af8">
    <w:name w:val="Заголовок"/>
    <w:basedOn w:val="a"/>
    <w:next w:val="af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9">
    <w:name w:val="Body Text"/>
    <w:basedOn w:val="a"/>
    <w:qFormat/>
    <w:pPr>
      <w:spacing w:after="140"/>
    </w:pPr>
  </w:style>
  <w:style w:type="paragraph" w:styleId="afa">
    <w:name w:val="List"/>
    <w:basedOn w:val="af9"/>
    <w:qFormat/>
    <w:rPr>
      <w:rFonts w:cs="Lohit Devanagari"/>
    </w:rPr>
  </w:style>
  <w:style w:type="paragraph" w:styleId="afb">
    <w:name w:val="caption"/>
    <w:basedOn w:val="a"/>
    <w:next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c">
    <w:name w:val="index heading"/>
    <w:basedOn w:val="a9"/>
    <w:next w:val="12"/>
    <w:qFormat/>
  </w:style>
  <w:style w:type="paragraph" w:styleId="af3">
    <w:name w:val="Balloon Text"/>
    <w:basedOn w:val="a"/>
    <w:link w:val="af2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1">
    <w:name w:val="endnote text"/>
    <w:basedOn w:val="a"/>
    <w:link w:val="af0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12">
    <w:name w:val="index 1"/>
    <w:basedOn w:val="a"/>
    <w:next w:val="a"/>
    <w:uiPriority w:val="99"/>
    <w:semiHidden/>
    <w:unhideWhenUsed/>
    <w:qFormat/>
  </w:style>
  <w:style w:type="paragraph" w:styleId="af">
    <w:name w:val="footnote text"/>
    <w:basedOn w:val="a"/>
    <w:link w:val="ae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2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customStyle="1" w:styleId="afd">
    <w:name w:val="Колонтитул"/>
    <w:basedOn w:val="a"/>
    <w:qFormat/>
  </w:style>
  <w:style w:type="paragraph" w:styleId="af5">
    <w:name w:val="header"/>
    <w:basedOn w:val="a"/>
    <w:link w:val="af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92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a9">
    <w:name w:val="Title"/>
    <w:basedOn w:val="a"/>
    <w:next w:val="af9"/>
    <w:link w:val="a8"/>
    <w:uiPriority w:val="10"/>
    <w:qFormat/>
    <w:pPr>
      <w:spacing w:before="300"/>
      <w:contextualSpacing/>
    </w:pPr>
    <w:rPr>
      <w:sz w:val="48"/>
      <w:szCs w:val="48"/>
    </w:rPr>
  </w:style>
  <w:style w:type="paragraph" w:styleId="13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e">
    <w:name w:val="table of figures"/>
    <w:basedOn w:val="a"/>
    <w:next w:val="a"/>
    <w:uiPriority w:val="99"/>
    <w:unhideWhenUsed/>
    <w:qFormat/>
    <w:pPr>
      <w:spacing w:after="0"/>
    </w:pPr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3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7">
    <w:name w:val="footer"/>
    <w:basedOn w:val="a"/>
    <w:link w:val="af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Subtitle"/>
    <w:basedOn w:val="a"/>
    <w:next w:val="a"/>
    <w:link w:val="aa"/>
    <w:uiPriority w:val="11"/>
    <w:qFormat/>
    <w:pPr>
      <w:spacing w:before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d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paragraph" w:customStyle="1" w:styleId="indexheading1">
    <w:name w:val="index heading1"/>
    <w:basedOn w:val="a9"/>
    <w:qFormat/>
  </w:style>
  <w:style w:type="paragraph" w:styleId="aff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14">
    <w:name w:val="Заголовок оглавления1"/>
    <w:uiPriority w:val="39"/>
    <w:unhideWhenUsed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qFormat/>
    <w:pPr>
      <w:widowControl w:val="0"/>
    </w:pPr>
    <w:rPr>
      <w:rFonts w:ascii="Calibri" w:eastAsiaTheme="minorEastAsia" w:hAnsi="Calibri" w:cs="Calibri"/>
      <w:b/>
      <w:sz w:val="22"/>
      <w:szCs w:val="22"/>
      <w:lang w:eastAsia="ru-RU" w:bidi="ar-SA"/>
    </w:rPr>
  </w:style>
  <w:style w:type="table" w:styleId="aff1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qFormat/>
    <w:tblPr/>
    <w:tblStylePr w:type="firstRow">
      <w:rPr>
        <w:b/>
        <w:caps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qFormat/>
    <w:tblPr/>
    <w:tblStylePr w:type="firstRow">
      <w:rPr>
        <w:i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81">
    <w:name w:val="Заголовок 8 Знак1"/>
    <w:basedOn w:val="a1"/>
    <w:link w:val="8"/>
    <w:uiPriority w:val="99"/>
    <w:qFormat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il"/>
          <w:left w:val="nil"/>
          <w:bottom w:val="single" w:sz="12" w:space="0" w:color="000000" w:themeColor="text1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qFormat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il"/>
          <w:left w:val="nil"/>
          <w:bottom w:val="single" w:sz="12" w:space="0" w:color="5B9BD5" w:themeColor="accent1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il"/>
          <w:left w:val="nil"/>
          <w:bottom w:val="single" w:sz="12" w:space="0" w:color="ED7D31" w:themeColor="accent2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il"/>
          <w:left w:val="nil"/>
          <w:bottom w:val="single" w:sz="12" w:space="0" w:color="A5A5A5" w:themeColor="accent3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il"/>
          <w:left w:val="nil"/>
          <w:bottom w:val="single" w:sz="12" w:space="0" w:color="FFC000" w:themeColor="accent4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91">
    <w:name w:val="Заголовок 9 Знак1"/>
    <w:basedOn w:val="a1"/>
    <w:link w:val="9"/>
    <w:uiPriority w:val="99"/>
    <w:qFormat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qFormat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qFormat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qFormat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qFormat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qFormat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285" w:themeColor="accent2" w:themeTint="96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qFormat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966" w:themeColor="accent4" w:themeTint="99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qFormat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44174" w:themeColor="accent5" w:themeShade="94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4174" w:themeColor="accent5" w:themeShade="94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/>
        <w:sz w:val="22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/>
        <w:sz w:val="22"/>
      </w:rPr>
      <w:tblPr/>
      <w:tcPr>
        <w:tcBorders>
          <w:top w:val="nil"/>
          <w:left w:val="single" w:sz="4" w:space="0" w:color="000000" w:themeColor="tex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qFormat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qFormat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  <w:shd w:val="clear" w:color="FFFFFF" w:fill="FFFFFF" w:themeFill="light1"/>
      </w:tcPr>
    </w:tblStylePr>
    <w:tblStylePr w:type="lastRow">
      <w:rPr>
        <w:b/>
        <w:color w:val="F4B285" w:themeColor="accent2" w:themeTint="96"/>
        <w:sz w:val="22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ED7D31" w:themeColor="accent2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285" w:themeColor="accent2" w:themeTint="96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qFormat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  <w:shd w:val="clear" w:color="FFFFFF" w:fill="FFFFFF" w:themeFill="light1"/>
      </w:tcPr>
    </w:tblStylePr>
    <w:tblStylePr w:type="lastRow">
      <w:rPr>
        <w:b/>
        <w:color w:val="A5A5A5" w:themeColor="accent3"/>
        <w:sz w:val="22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qFormat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  <w:shd w:val="clear" w:color="FFFFFF" w:fill="FFFFFF" w:themeFill="light1"/>
      </w:tcPr>
    </w:tblStylePr>
    <w:tblStylePr w:type="lastRow">
      <w:rPr>
        <w:b/>
        <w:color w:val="FFD966" w:themeColor="accent4" w:themeTint="99"/>
        <w:sz w:val="22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C000" w:themeColor="accent4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966" w:themeColor="accent4" w:themeTint="99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  <w:shd w:val="clear" w:color="FFFFFF" w:fill="FFFFFF" w:themeFill="light1"/>
      </w:tcPr>
    </w:tblStylePr>
    <w:tblStylePr w:type="lastRow">
      <w:rPr>
        <w:b/>
        <w:color w:val="244174" w:themeColor="accent5" w:themeShade="94"/>
        <w:sz w:val="22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4472C4" w:themeColor="accent5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44174" w:themeColor="accent5" w:themeShade="94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  <w:shd w:val="clear" w:color="FFFFFF" w:fill="FFFFFF" w:themeFill="light1"/>
      </w:tcPr>
    </w:tblStylePr>
    <w:tblStylePr w:type="lastRow">
      <w:rPr>
        <w:b/>
        <w:color w:val="406429" w:themeColor="accent6" w:themeShade="94"/>
        <w:sz w:val="22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70AD47" w:themeColor="accent6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06429" w:themeColor="accent6" w:themeShade="94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qFormat/>
    <w:tblPr/>
    <w:tblStylePr w:type="firstRow">
      <w:rPr>
        <w:b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qFormat/>
    <w:tblPr/>
    <w:tblStylePr w:type="firstRow">
      <w:rPr>
        <w:b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tblPr/>
    <w:tblStylePr w:type="firstRow">
      <w:rPr>
        <w:b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qFormat/>
    <w:tblPr/>
    <w:tblStylePr w:type="firstRow">
      <w:rPr>
        <w:b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tblPr/>
    <w:tblStylePr w:type="firstRow">
      <w:rPr>
        <w:b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qFormat/>
    <w:tblPr/>
    <w:tblStylePr w:type="firstRow">
      <w:rPr>
        <w:b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qFormat/>
    <w:tblPr/>
    <w:tblStylePr w:type="firstRow">
      <w:rPr>
        <w:b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il"/>
          <w:bottom w:val="single" w:sz="4" w:space="0" w:color="5B9BD5" w:themeColor="accent1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il"/>
          <w:bottom w:val="single" w:sz="4" w:space="0" w:color="ED7D31" w:themeColor="accent2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qFormat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il"/>
          <w:bottom w:val="single" w:sz="4" w:space="0" w:color="A5A5A5" w:themeColor="accent3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qFormat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il"/>
          <w:bottom w:val="single" w:sz="4" w:space="0" w:color="FFC000" w:themeColor="accent4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il"/>
          <w:bottom w:val="single" w:sz="4" w:space="0" w:color="4472C4" w:themeColor="accent5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qFormat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il"/>
          <w:bottom w:val="single" w:sz="4" w:space="0" w:color="70AD47" w:themeColor="accent6"/>
          <w:right w:val="nil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qFormat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qFormat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qFormat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qFormat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qFormat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qFormat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qFormat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qFormat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qFormat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qFormat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qFormat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qFormat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C" w:themeColor="accent1" w:themeShade="94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285" w:themeColor="accent2" w:themeTint="96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qFormat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9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966" w:themeColor="accent4" w:themeTint="99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qFormat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EAADB" w:themeColor="accent5" w:themeTint="99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qFormat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8D08D" w:themeColor="accent6" w:themeTint="99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qFormat/>
    <w:tblPr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/>
        <w:sz w:val="22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/>
        <w:sz w:val="22"/>
      </w:rPr>
      <w:tblPr/>
      <w:tcPr>
        <w:tcBorders>
          <w:top w:val="nil"/>
          <w:left w:val="single" w:sz="4" w:space="0" w:color="000000" w:themeColor="tex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qFormat/>
    <w:tblPr>
      <w:tblBorders>
        <w:right w:val="single" w:sz="4" w:space="0" w:color="5B9BD5" w:themeColor="accent1"/>
      </w:tblBorders>
    </w:tblPr>
    <w:tblStylePr w:type="firstRow">
      <w:rPr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fill="FFFFFF" w:themeFill="light1"/>
      </w:tcPr>
    </w:tblStylePr>
    <w:tblStylePr w:type="lastRow">
      <w:rPr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C" w:themeColor="accent1" w:themeShade="94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qFormat/>
    <w:tblPr>
      <w:tblBorders>
        <w:right w:val="single" w:sz="4" w:space="0" w:color="F4B184" w:themeColor="accent2" w:themeTint="97"/>
      </w:tblBorders>
    </w:tblPr>
    <w:tblStylePr w:type="firstRow">
      <w:rPr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  <w:shd w:val="clear" w:color="FFFFFF" w:fill="FFFFFF" w:themeFill="light1"/>
      </w:tcPr>
    </w:tblStylePr>
    <w:tblStylePr w:type="lastRow">
      <w:rPr>
        <w:i/>
        <w:color w:val="F4B285" w:themeColor="accent2" w:themeTint="96"/>
        <w:sz w:val="22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ED7D31" w:themeColor="accent2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285" w:themeColor="accent2" w:themeTint="96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qFormat/>
    <w:tblPr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9"/>
        <w:sz w:val="22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A5A5A5" w:themeColor="accent3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9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sz="4" w:space="0" w:color="FFD865" w:themeColor="accent4" w:themeTint="9A"/>
      </w:tblBorders>
    </w:tblPr>
    <w:tblStylePr w:type="firstRow">
      <w:rPr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  <w:shd w:val="clear" w:color="FFFFFF" w:fill="FFFFFF" w:themeFill="light1"/>
      </w:tcPr>
    </w:tblStylePr>
    <w:tblStylePr w:type="lastRow">
      <w:rPr>
        <w:i/>
        <w:color w:val="FFD966" w:themeColor="accent4" w:themeTint="99"/>
        <w:sz w:val="22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C000" w:themeColor="accent4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966" w:themeColor="accent4" w:themeTint="99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8DA9DB" w:themeColor="accent5" w:themeTint="9A"/>
      </w:tblBorders>
    </w:tblPr>
    <w:tblStylePr w:type="firstRow">
      <w:rPr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  <w:shd w:val="clear" w:color="FFFFFF" w:fill="FFFFFF" w:themeFill="light1"/>
      </w:tcPr>
    </w:tblStylePr>
    <w:tblStylePr w:type="lastRow">
      <w:rPr>
        <w:i/>
        <w:color w:val="8EAADB" w:themeColor="accent5" w:themeTint="99"/>
        <w:sz w:val="22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4472C4" w:themeColor="accent5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EAADB" w:themeColor="accent5" w:themeTint="99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qFormat/>
    <w:tblPr>
      <w:tblBorders>
        <w:right w:val="single" w:sz="4" w:space="0" w:color="A9D08E" w:themeColor="accent6" w:themeTint="98"/>
      </w:tblBorders>
    </w:tblPr>
    <w:tblStylePr w:type="firstRow">
      <w:rPr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  <w:shd w:val="clear" w:color="FFFFFF" w:fill="FFFFFF" w:themeFill="light1"/>
      </w:tcPr>
    </w:tblStylePr>
    <w:tblStylePr w:type="lastRow">
      <w:rPr>
        <w:i/>
        <w:color w:val="A8D08D" w:themeColor="accent6" w:themeTint="99"/>
        <w:sz w:val="22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70AD47" w:themeColor="accent6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8D08D" w:themeColor="accent6" w:themeTint="99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qFormat/>
    <w:tblPr/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qFormat/>
    <w:tblPr/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qFormat/>
    <w:tblPr/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qFormat/>
    <w:tblPr/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qFormat/>
    <w:tblPr/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qFormat/>
    <w:tblPr/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qFormat/>
    <w:tblPr/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qFormat/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qFormat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tblPr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qFormat/>
    <w:tblPr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qFormat/>
    <w:tblPr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qFormat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qFormat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Мурзаева Ольга Олеговна</dc:creator>
  <dc:description/>
  <cp:lastModifiedBy>Седина Людмила Анатольевна</cp:lastModifiedBy>
  <cp:revision>2</cp:revision>
  <dcterms:created xsi:type="dcterms:W3CDTF">2024-07-23T05:42:00Z</dcterms:created>
  <dcterms:modified xsi:type="dcterms:W3CDTF">2024-07-23T05:42:00Z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0C9945B15C3D45909521D454C7A23E6E</vt:lpwstr>
  </property>
  <property fmtid="{D5CDD505-2E9C-101B-9397-08002B2CF9AE}" pid="3" name="KSOProductBuildVer">
    <vt:lpwstr>1049-11.2.0.11537</vt:lpwstr>
  </property>
</Properties>
</file>