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1</w:t>
      </w:r>
      <w:r w:rsidR="005F073A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>.10.2022 № 1</w:t>
      </w:r>
      <w:r w:rsidR="005F073A">
        <w:rPr>
          <w:rFonts w:ascii="Times New Roman" w:hAnsi="Times New Roman"/>
          <w:b/>
          <w:sz w:val="28"/>
        </w:rPr>
        <w:t>6</w:t>
      </w:r>
      <w:r w:rsidR="00B231DA">
        <w:rPr>
          <w:rFonts w:ascii="Times New Roman" w:hAnsi="Times New Roman"/>
          <w:b/>
          <w:sz w:val="28"/>
        </w:rPr>
        <w:t>2</w:t>
      </w:r>
    </w:p>
    <w:p w:rsidR="00A77966" w:rsidRDefault="00F86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  <w:r>
        <w:rPr>
          <w:rFonts w:ascii="Times New Roman" w:hAnsi="Times New Roman"/>
          <w:b/>
          <w:sz w:val="28"/>
        </w:rPr>
        <w:t>«</w:t>
      </w:r>
      <w:r w:rsidR="005F073A" w:rsidRPr="005F073A">
        <w:rPr>
          <w:rFonts w:ascii="Times New Roman" w:hAnsi="Times New Roman"/>
          <w:b/>
          <w:sz w:val="28"/>
        </w:rPr>
        <w:t xml:space="preserve">Об утверждении тарифов на услуги по передаче электрической энергии по сетям </w:t>
      </w:r>
      <w:r w:rsidR="005F073A">
        <w:rPr>
          <w:rFonts w:ascii="Times New Roman" w:hAnsi="Times New Roman"/>
          <w:b/>
          <w:sz w:val="28"/>
        </w:rPr>
        <w:t>ОО</w:t>
      </w:r>
      <w:r w:rsidR="005F073A" w:rsidRPr="005F073A">
        <w:rPr>
          <w:rFonts w:ascii="Times New Roman" w:hAnsi="Times New Roman"/>
          <w:b/>
          <w:sz w:val="28"/>
        </w:rPr>
        <w:t>О «Петропавловск-Камчатский морской торговый порт» на 2023-2027 годы</w:t>
      </w:r>
      <w:r>
        <w:rPr>
          <w:rFonts w:ascii="Times New Roman" w:hAnsi="Times New Roman"/>
          <w:b/>
          <w:sz w:val="28"/>
        </w:rPr>
        <w:t>»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26.03.2003 № 35-ФЗ</w:t>
      </w:r>
      <w:r>
        <w:br/>
      </w:r>
      <w:r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</w:t>
      </w:r>
      <w:r w:rsidR="00D07695">
        <w:rPr>
          <w:rFonts w:ascii="Times New Roman" w:hAnsi="Times New Roman"/>
          <w:sz w:val="28"/>
        </w:rPr>
        <w:t xml:space="preserve">ам и ценам Камчатского края от </w:t>
      </w:r>
      <w:r w:rsidR="005F073A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5F073A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.202</w:t>
      </w:r>
      <w:r w:rsidR="002850A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ХХ</w:t>
      </w:r>
    </w:p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 w:rsidP="005F07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073A" w:rsidRPr="005F073A" w:rsidRDefault="005F073A" w:rsidP="005F073A">
      <w:pPr>
        <w:pStyle w:val="34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 w:rsidRPr="005F073A">
        <w:rPr>
          <w:sz w:val="28"/>
        </w:rPr>
        <w:t>Внести в приложени</w:t>
      </w:r>
      <w:r>
        <w:rPr>
          <w:sz w:val="28"/>
        </w:rPr>
        <w:t>я 2,</w:t>
      </w:r>
      <w:r w:rsidRPr="005F073A">
        <w:rPr>
          <w:sz w:val="28"/>
        </w:rPr>
        <w:t xml:space="preserve"> 3 к постановлению Региональной службы по тарифам и ценам Камчатского края от 19.10.2022 № 162 «Об утверждении тарифов на услуги по передаче электрической энергии по сетям</w:t>
      </w:r>
      <w:r>
        <w:rPr>
          <w:sz w:val="28"/>
        </w:rPr>
        <w:t xml:space="preserve"> ОО</w:t>
      </w:r>
      <w:r w:rsidRPr="005F073A">
        <w:rPr>
          <w:sz w:val="28"/>
        </w:rPr>
        <w:t xml:space="preserve">О «Петропавловск-Камчатский морской торговый порт» на 2023-2027 годы» изменения, изложив его в редакции, согласно </w:t>
      </w:r>
      <w:r w:rsidR="002850AB" w:rsidRPr="005F073A">
        <w:rPr>
          <w:sz w:val="28"/>
        </w:rPr>
        <w:t>приложени</w:t>
      </w:r>
      <w:r w:rsidR="002850AB">
        <w:rPr>
          <w:sz w:val="28"/>
        </w:rPr>
        <w:t>ям 1,2,</w:t>
      </w:r>
      <w:r w:rsidRPr="005F073A">
        <w:rPr>
          <w:sz w:val="28"/>
        </w:rPr>
        <w:t xml:space="preserve"> к настоящему постановлению.</w:t>
      </w:r>
    </w:p>
    <w:p w:rsidR="005F073A" w:rsidRPr="005F073A" w:rsidRDefault="005F073A" w:rsidP="005F073A">
      <w:pPr>
        <w:pStyle w:val="34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 w:rsidRPr="005F073A">
        <w:rPr>
          <w:sz w:val="28"/>
        </w:rPr>
        <w:t xml:space="preserve">Настоящее постановление вступает в силу </w:t>
      </w:r>
      <w:r w:rsidR="002850AB">
        <w:rPr>
          <w:sz w:val="28"/>
        </w:rPr>
        <w:t>с 1 января 2025 года</w:t>
      </w:r>
      <w:r w:rsidRPr="005F073A">
        <w:rPr>
          <w:sz w:val="28"/>
        </w:rPr>
        <w:t>.</w:t>
      </w: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4611C5" w:rsidP="004611C5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  <w:bookmarkStart w:id="1" w:name="_GoBack"/>
            <w:bookmarkEnd w:id="1"/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8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F073A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5F073A">
        <w:rPr>
          <w:rFonts w:ascii="Times New Roman" w:hAnsi="Times New Roman"/>
          <w:sz w:val="28"/>
        </w:rPr>
        <w:t>ХХ</w:t>
      </w:r>
      <w:r w:rsidRPr="00840F37">
        <w:rPr>
          <w:rFonts w:ascii="Times New Roman" w:hAnsi="Times New Roman"/>
          <w:sz w:val="28"/>
        </w:rPr>
        <w:t>.202</w:t>
      </w:r>
      <w:r w:rsidR="002850AB">
        <w:rPr>
          <w:rFonts w:ascii="Times New Roman" w:hAnsi="Times New Roman"/>
          <w:sz w:val="28"/>
        </w:rPr>
        <w:t>4</w:t>
      </w:r>
      <w:r w:rsidRPr="00840F3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5F073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.10.2022 № 1</w:t>
      </w:r>
      <w:r w:rsidR="005F073A">
        <w:rPr>
          <w:rFonts w:ascii="Times New Roman" w:hAnsi="Times New Roman"/>
          <w:sz w:val="28"/>
        </w:rPr>
        <w:t>6</w:t>
      </w:r>
      <w:r w:rsidR="00D07695">
        <w:rPr>
          <w:rFonts w:ascii="Times New Roman" w:hAnsi="Times New Roman"/>
          <w:sz w:val="28"/>
        </w:rPr>
        <w:t>2</w:t>
      </w: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073A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Необходимая валовая выручка ООО «</w:t>
      </w:r>
      <w:r w:rsidR="005F073A" w:rsidRPr="005F073A">
        <w:rPr>
          <w:rFonts w:ascii="Times New Roman" w:hAnsi="Times New Roman"/>
          <w:sz w:val="28"/>
        </w:rPr>
        <w:t>Петропавловск-Камчатский морской торговый порт</w:t>
      </w:r>
      <w:r>
        <w:rPr>
          <w:rFonts w:ascii="Times New Roman" w:hAnsi="Times New Roman"/>
          <w:sz w:val="28"/>
        </w:rPr>
        <w:t>»</w:t>
      </w:r>
      <w:r w:rsidR="005F07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долгосрочный период регулирования 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(без учета оплаты потерь) 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– 2027 годы</w:t>
      </w:r>
    </w:p>
    <w:p w:rsidR="00A77966" w:rsidRDefault="00A77966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634"/>
        <w:gridCol w:w="3545"/>
      </w:tblGrid>
      <w:tr w:rsidR="00A77966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 w:rsidP="00D0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НВВ ООО «</w:t>
            </w:r>
            <w:r w:rsidR="005F073A" w:rsidRPr="005F073A">
              <w:rPr>
                <w:rFonts w:ascii="Times New Roman" w:hAnsi="Times New Roman"/>
                <w:sz w:val="24"/>
              </w:rPr>
              <w:t>Петропавловск-Камчатский морской торговый порт</w:t>
            </w:r>
            <w:r>
              <w:rPr>
                <w:rFonts w:ascii="Times New Roman" w:hAnsi="Times New Roman"/>
                <w:sz w:val="24"/>
              </w:rPr>
              <w:t>» без учета оплаты потерь</w:t>
            </w:r>
          </w:p>
        </w:tc>
      </w:tr>
      <w:tr w:rsidR="00A77966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A77966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A77966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F86E5B" w:rsidP="00D0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F86E5B" w:rsidP="00D0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 w:rsidR="005F073A" w:rsidRPr="005F073A">
              <w:rPr>
                <w:rFonts w:ascii="Times New Roman" w:hAnsi="Times New Roman"/>
                <w:sz w:val="24"/>
              </w:rPr>
              <w:t>Петропавловск-Камчатский морской торговый порт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966" w:rsidRDefault="008A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</w:tr>
      <w:tr w:rsidR="00D07695" w:rsidTr="0097315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695" w:rsidRDefault="00D07695" w:rsidP="00D07695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695" w:rsidRDefault="00D07695" w:rsidP="00D07695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695" w:rsidRDefault="00D07695" w:rsidP="00D0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695" w:rsidRPr="002850AB" w:rsidRDefault="00B61C81" w:rsidP="00D0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7315C">
              <w:rPr>
                <w:rFonts w:ascii="Times New Roman" w:hAnsi="Times New Roman"/>
                <w:sz w:val="24"/>
              </w:rPr>
              <w:t>5 255</w:t>
            </w:r>
          </w:p>
        </w:tc>
      </w:tr>
      <w:tr w:rsidR="00D07695" w:rsidTr="007E2C8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695" w:rsidRDefault="00D07695" w:rsidP="00D07695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695" w:rsidRDefault="00D07695" w:rsidP="00D07695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695" w:rsidRPr="00840F37" w:rsidRDefault="00D07695" w:rsidP="00D0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695" w:rsidRPr="002850AB" w:rsidRDefault="00B61C81" w:rsidP="0097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850AB">
              <w:rPr>
                <w:rFonts w:ascii="Times New Roman" w:hAnsi="Times New Roman"/>
                <w:sz w:val="24"/>
                <w:highlight w:val="yellow"/>
              </w:rPr>
              <w:t xml:space="preserve">4 </w:t>
            </w:r>
            <w:r w:rsidR="0097315C">
              <w:rPr>
                <w:rFonts w:ascii="Times New Roman" w:hAnsi="Times New Roman"/>
                <w:sz w:val="24"/>
                <w:highlight w:val="yellow"/>
              </w:rPr>
              <w:t>585</w:t>
            </w:r>
          </w:p>
        </w:tc>
      </w:tr>
      <w:tr w:rsidR="00D07695" w:rsidTr="007E2C8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695" w:rsidRDefault="00D07695" w:rsidP="00D07695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695" w:rsidRDefault="00D07695" w:rsidP="00D07695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695" w:rsidRPr="00840F37" w:rsidRDefault="00D07695" w:rsidP="00D0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695" w:rsidRPr="002850AB" w:rsidRDefault="00B61C81" w:rsidP="0097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850AB">
              <w:rPr>
                <w:rFonts w:ascii="Times New Roman" w:hAnsi="Times New Roman"/>
                <w:sz w:val="24"/>
                <w:highlight w:val="yellow"/>
              </w:rPr>
              <w:t xml:space="preserve">4 </w:t>
            </w:r>
            <w:r w:rsidR="0097315C">
              <w:rPr>
                <w:rFonts w:ascii="Times New Roman" w:hAnsi="Times New Roman"/>
                <w:sz w:val="24"/>
                <w:highlight w:val="yellow"/>
              </w:rPr>
              <w:t>658</w:t>
            </w:r>
          </w:p>
        </w:tc>
      </w:tr>
      <w:tr w:rsidR="00D07695" w:rsidTr="007E2C8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695" w:rsidRDefault="00D07695" w:rsidP="00D07695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695" w:rsidRDefault="00D07695" w:rsidP="00D07695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695" w:rsidRPr="00840F37" w:rsidRDefault="00D07695" w:rsidP="00D0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695" w:rsidRPr="002850AB" w:rsidRDefault="00B61C81" w:rsidP="0097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850AB">
              <w:rPr>
                <w:rFonts w:ascii="Times New Roman" w:hAnsi="Times New Roman"/>
                <w:sz w:val="24"/>
                <w:highlight w:val="yellow"/>
              </w:rPr>
              <w:t xml:space="preserve">4 </w:t>
            </w:r>
            <w:r w:rsidR="0097315C">
              <w:rPr>
                <w:rFonts w:ascii="Times New Roman" w:hAnsi="Times New Roman"/>
                <w:sz w:val="24"/>
                <w:highlight w:val="yellow"/>
              </w:rPr>
              <w:t>809</w:t>
            </w:r>
          </w:p>
        </w:tc>
      </w:tr>
    </w:tbl>
    <w:p w:rsidR="00A77966" w:rsidRDefault="00F86E5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»</w:t>
      </w:r>
      <w:r>
        <w:rPr>
          <w:rFonts w:ascii="Times New Roman" w:hAnsi="Times New Roman"/>
          <w:sz w:val="28"/>
        </w:rPr>
        <w:t>;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B61C81" w:rsidRDefault="00B61C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840F37">
        <w:rPr>
          <w:rFonts w:ascii="Times New Roman" w:hAnsi="Times New Roman"/>
          <w:sz w:val="28"/>
        </w:rPr>
        <w:t xml:space="preserve">от </w:t>
      </w:r>
      <w:r w:rsidR="00B61C81">
        <w:rPr>
          <w:rFonts w:ascii="Times New Roman" w:hAnsi="Times New Roman"/>
          <w:sz w:val="28"/>
        </w:rPr>
        <w:t>ХХ</w:t>
      </w:r>
      <w:r w:rsidRPr="00840F37">
        <w:rPr>
          <w:rFonts w:ascii="Times New Roman" w:hAnsi="Times New Roman"/>
          <w:sz w:val="28"/>
        </w:rPr>
        <w:t>.</w:t>
      </w:r>
      <w:r w:rsidR="00B61C81">
        <w:rPr>
          <w:rFonts w:ascii="Times New Roman" w:hAnsi="Times New Roman"/>
          <w:sz w:val="28"/>
        </w:rPr>
        <w:t>ХХ</w:t>
      </w:r>
      <w:r w:rsidRPr="00840F37">
        <w:rPr>
          <w:rFonts w:ascii="Times New Roman" w:hAnsi="Times New Roman"/>
          <w:sz w:val="28"/>
        </w:rPr>
        <w:t>.202</w:t>
      </w:r>
      <w:r w:rsidR="002850AB">
        <w:rPr>
          <w:rFonts w:ascii="Times New Roman" w:hAnsi="Times New Roman"/>
          <w:sz w:val="28"/>
        </w:rPr>
        <w:t xml:space="preserve">4 </w:t>
      </w:r>
      <w:r w:rsidRPr="00840F37">
        <w:rPr>
          <w:rFonts w:ascii="Times New Roman" w:hAnsi="Times New Roman"/>
          <w:sz w:val="28"/>
        </w:rPr>
        <w:t>№ ХХ</w:t>
      </w:r>
    </w:p>
    <w:p w:rsidR="00A77966" w:rsidRDefault="00A77966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77966" w:rsidRDefault="00F86E5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8A1B56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.10.2022 № 1</w:t>
      </w:r>
      <w:r w:rsidR="00B61C81">
        <w:rPr>
          <w:rFonts w:ascii="Times New Roman" w:hAnsi="Times New Roman"/>
          <w:sz w:val="28"/>
        </w:rPr>
        <w:t>6</w:t>
      </w:r>
      <w:r w:rsidR="00D07695">
        <w:rPr>
          <w:rFonts w:ascii="Times New Roman" w:hAnsi="Times New Roman"/>
          <w:sz w:val="28"/>
        </w:rPr>
        <w:t>2</w:t>
      </w:r>
    </w:p>
    <w:p w:rsidR="00A77966" w:rsidRDefault="00A7796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тарифы </w:t>
      </w: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услуги по передаче электрической энергии для взаиморасчетов между </w:t>
      </w:r>
    </w:p>
    <w:p w:rsidR="00A77966" w:rsidRDefault="00F86E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ПАО «Камчатскэнерго» и ООО «</w:t>
      </w:r>
      <w:r w:rsidR="00B61C81" w:rsidRPr="00B61C81">
        <w:rPr>
          <w:rFonts w:ascii="Times New Roman" w:hAnsi="Times New Roman"/>
          <w:sz w:val="28"/>
        </w:rPr>
        <w:t>Петропавловск-Камчатский морской торговый порт</w:t>
      </w:r>
      <w:r>
        <w:rPr>
          <w:rFonts w:ascii="Times New Roman" w:hAnsi="Times New Roman"/>
          <w:sz w:val="28"/>
        </w:rPr>
        <w:t>» на 2023-2027 годы</w:t>
      </w:r>
    </w:p>
    <w:p w:rsidR="00A77966" w:rsidRDefault="00A77966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993"/>
        <w:gridCol w:w="992"/>
        <w:gridCol w:w="993"/>
      </w:tblGrid>
      <w:tr w:rsidR="00D07695" w:rsidRPr="00D07695" w:rsidTr="0096479B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 xml:space="preserve">Наименование сетевых   </w:t>
            </w:r>
            <w:r w:rsidRPr="00D07695">
              <w:rPr>
                <w:rFonts w:ascii="Times New Roman" w:hAnsi="Times New Roman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 xml:space="preserve">1 полугодие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 xml:space="preserve">2 полугодие </w:t>
            </w:r>
          </w:p>
        </w:tc>
      </w:tr>
      <w:tr w:rsidR="00D07695" w:rsidRPr="00D07695" w:rsidTr="0096479B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07695">
              <w:rPr>
                <w:rFonts w:ascii="Times New Roman" w:hAnsi="Times New Roman"/>
              </w:rPr>
              <w:t>Двухставочный</w:t>
            </w:r>
            <w:proofErr w:type="spellEnd"/>
            <w:r w:rsidRPr="00D07695">
              <w:rPr>
                <w:rFonts w:ascii="Times New Roman" w:hAnsi="Times New Roman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07695">
              <w:rPr>
                <w:rFonts w:ascii="Times New Roman" w:hAnsi="Times New Roman"/>
              </w:rPr>
              <w:t>Односта</w:t>
            </w:r>
            <w:proofErr w:type="spellEnd"/>
            <w:r w:rsidRPr="00D07695">
              <w:rPr>
                <w:rFonts w:ascii="Times New Roman" w:hAnsi="Times New Roman"/>
              </w:rPr>
              <w:t xml:space="preserve">-   </w:t>
            </w:r>
            <w:r w:rsidRPr="00D07695">
              <w:rPr>
                <w:rFonts w:ascii="Times New Roman" w:hAnsi="Times New Roman"/>
              </w:rPr>
              <w:br/>
            </w:r>
            <w:proofErr w:type="spellStart"/>
            <w:r w:rsidRPr="00D07695">
              <w:rPr>
                <w:rFonts w:ascii="Times New Roman" w:hAnsi="Times New Roman"/>
              </w:rPr>
              <w:t>вочный</w:t>
            </w:r>
            <w:proofErr w:type="spellEnd"/>
            <w:r w:rsidRPr="00D07695">
              <w:rPr>
                <w:rFonts w:ascii="Times New Roman" w:hAnsi="Times New Roman"/>
              </w:rPr>
              <w:t xml:space="preserve">     </w:t>
            </w:r>
            <w:r w:rsidRPr="00D07695">
              <w:rPr>
                <w:rFonts w:ascii="Times New Roman" w:hAnsi="Times New Roman"/>
              </w:rPr>
              <w:br/>
              <w:t>тариф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07695">
              <w:rPr>
                <w:rFonts w:ascii="Times New Roman" w:hAnsi="Times New Roman"/>
              </w:rPr>
              <w:t>Двухставочный</w:t>
            </w:r>
            <w:proofErr w:type="spellEnd"/>
            <w:r w:rsidRPr="00D07695">
              <w:rPr>
                <w:rFonts w:ascii="Times New Roman" w:hAnsi="Times New Roman"/>
              </w:rPr>
              <w:t xml:space="preserve"> тариф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07695">
              <w:rPr>
                <w:rFonts w:ascii="Times New Roman" w:hAnsi="Times New Roman"/>
              </w:rPr>
              <w:t>Одноставочный</w:t>
            </w:r>
            <w:proofErr w:type="spellEnd"/>
            <w:r w:rsidRPr="00D07695">
              <w:rPr>
                <w:rFonts w:ascii="Times New Roman" w:hAnsi="Times New Roman"/>
              </w:rPr>
              <w:t xml:space="preserve"> тариф</w:t>
            </w:r>
          </w:p>
        </w:tc>
      </w:tr>
      <w:tr w:rsidR="00D07695" w:rsidRPr="00D07695" w:rsidTr="0096479B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 xml:space="preserve">ставка за </w:t>
            </w:r>
            <w:r w:rsidRPr="00D07695">
              <w:rPr>
                <w:rFonts w:ascii="Times New Roman" w:hAnsi="Times New Roman"/>
              </w:rPr>
              <w:br/>
              <w:t xml:space="preserve">содержание </w:t>
            </w:r>
            <w:r w:rsidRPr="00D07695">
              <w:rPr>
                <w:rFonts w:ascii="Times New Roman" w:hAnsi="Times New Roman"/>
              </w:rPr>
              <w:br/>
              <w:t xml:space="preserve">электрических     </w:t>
            </w:r>
            <w:r w:rsidRPr="00D07695">
              <w:rPr>
                <w:rFonts w:ascii="Times New Roman" w:hAnsi="Times New Roman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 xml:space="preserve">ставка на </w:t>
            </w:r>
            <w:r w:rsidRPr="00D07695">
              <w:rPr>
                <w:rFonts w:ascii="Times New Roman" w:hAnsi="Times New Roman"/>
              </w:rPr>
              <w:br/>
              <w:t xml:space="preserve">оплату     </w:t>
            </w:r>
            <w:r w:rsidRPr="00D07695">
              <w:rPr>
                <w:rFonts w:ascii="Times New Roman" w:hAnsi="Times New Roman"/>
              </w:rPr>
              <w:br/>
              <w:t xml:space="preserve">технологического    </w:t>
            </w:r>
            <w:r w:rsidRPr="00D07695">
              <w:rPr>
                <w:rFonts w:ascii="Times New Roman" w:hAnsi="Times New Roman"/>
              </w:rPr>
              <w:br/>
              <w:t xml:space="preserve">расхода    </w:t>
            </w:r>
            <w:r w:rsidRPr="00D07695">
              <w:rPr>
                <w:rFonts w:ascii="Times New Roman" w:hAnsi="Times New Roman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 xml:space="preserve">ставка за </w:t>
            </w:r>
            <w:r w:rsidRPr="00D07695">
              <w:rPr>
                <w:rFonts w:ascii="Times New Roman" w:hAnsi="Times New Roman"/>
              </w:rPr>
              <w:br/>
              <w:t xml:space="preserve">содержание </w:t>
            </w:r>
            <w:r w:rsidRPr="00D07695">
              <w:rPr>
                <w:rFonts w:ascii="Times New Roman" w:hAnsi="Times New Roman"/>
              </w:rPr>
              <w:br/>
              <w:t xml:space="preserve">электрических     </w:t>
            </w:r>
            <w:r w:rsidRPr="00D07695">
              <w:rPr>
                <w:rFonts w:ascii="Times New Roman" w:hAnsi="Times New Roman"/>
              </w:rPr>
              <w:br/>
              <w:t>сетей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 xml:space="preserve">ставка     </w:t>
            </w:r>
            <w:r w:rsidRPr="00D07695">
              <w:rPr>
                <w:rFonts w:ascii="Times New Roman" w:hAnsi="Times New Roman"/>
              </w:rPr>
              <w:br/>
              <w:t xml:space="preserve">на оплату </w:t>
            </w:r>
            <w:r w:rsidRPr="00D07695">
              <w:rPr>
                <w:rFonts w:ascii="Times New Roman" w:hAnsi="Times New Roman"/>
              </w:rPr>
              <w:br/>
              <w:t xml:space="preserve">технологического    </w:t>
            </w:r>
            <w:r w:rsidRPr="00D07695">
              <w:rPr>
                <w:rFonts w:ascii="Times New Roman" w:hAnsi="Times New Roman"/>
              </w:rPr>
              <w:br/>
              <w:t xml:space="preserve">расхода    </w:t>
            </w:r>
            <w:r w:rsidRPr="00D07695">
              <w:rPr>
                <w:rFonts w:ascii="Times New Roman" w:hAnsi="Times New Roman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07695" w:rsidRPr="00D07695" w:rsidTr="0096479B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руб./</w:t>
            </w:r>
            <w:proofErr w:type="spellStart"/>
            <w:r w:rsidRPr="00D07695">
              <w:rPr>
                <w:rFonts w:ascii="Times New Roman" w:hAnsi="Times New Roman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руб./</w:t>
            </w:r>
            <w:proofErr w:type="spellStart"/>
            <w:r w:rsidRPr="00D07695">
              <w:rPr>
                <w:rFonts w:ascii="Times New Roman" w:hAnsi="Times New Roman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руб./</w:t>
            </w:r>
            <w:proofErr w:type="spellStart"/>
            <w:r w:rsidRPr="00D07695">
              <w:rPr>
                <w:rFonts w:ascii="Times New Roman" w:hAnsi="Times New Roman"/>
              </w:rPr>
              <w:t>кВт·ч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руб./</w:t>
            </w:r>
            <w:proofErr w:type="spellStart"/>
            <w:r w:rsidRPr="00D07695">
              <w:rPr>
                <w:rFonts w:ascii="Times New Roman" w:hAnsi="Times New Roman"/>
              </w:rPr>
              <w:t>МВт·мес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руб./</w:t>
            </w:r>
            <w:proofErr w:type="spellStart"/>
            <w:r w:rsidRPr="00D07695">
              <w:rPr>
                <w:rFonts w:ascii="Times New Roman" w:hAnsi="Times New Roman"/>
              </w:rPr>
              <w:t>МВт·ч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руб./</w:t>
            </w:r>
            <w:proofErr w:type="spellStart"/>
            <w:r w:rsidRPr="00D07695">
              <w:rPr>
                <w:rFonts w:ascii="Times New Roman" w:hAnsi="Times New Roman"/>
              </w:rPr>
              <w:t>кВт·ч</w:t>
            </w:r>
            <w:proofErr w:type="spellEnd"/>
          </w:p>
        </w:tc>
      </w:tr>
      <w:tr w:rsidR="00D07695" w:rsidRPr="00D07695" w:rsidTr="0096479B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5" w:rsidRPr="00D07695" w:rsidRDefault="00D07695" w:rsidP="00D07695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8</w:t>
            </w:r>
          </w:p>
        </w:tc>
      </w:tr>
      <w:tr w:rsidR="0097315C" w:rsidRPr="00D07695" w:rsidTr="0010688C">
        <w:trPr>
          <w:trHeight w:val="804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  <w:bCs/>
              </w:rPr>
              <w:t>П</w:t>
            </w:r>
            <w:r w:rsidRPr="00D07695">
              <w:rPr>
                <w:rFonts w:ascii="Times New Roman" w:hAnsi="Times New Roman"/>
                <w:bCs/>
                <w:lang w:val="x-none"/>
              </w:rPr>
              <w:t>АО «Камчатскэнерго»</w:t>
            </w:r>
            <w:r w:rsidRPr="00D07695">
              <w:rPr>
                <w:rFonts w:ascii="Times New Roman" w:hAnsi="Times New Roman"/>
                <w:bCs/>
              </w:rPr>
              <w:t xml:space="preserve"> и ООО «</w:t>
            </w:r>
            <w:r w:rsidRPr="00B61C81">
              <w:rPr>
                <w:rFonts w:ascii="Times New Roman" w:hAnsi="Times New Roman"/>
                <w:bCs/>
              </w:rPr>
              <w:t>Петропавловск-Камчатский морской торговый порт</w:t>
            </w:r>
            <w:r w:rsidRPr="00D0769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8A1B56" w:rsidRDefault="0097315C" w:rsidP="00973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A1B56">
              <w:rPr>
                <w:rFonts w:ascii="Times New Roman" w:hAnsi="Times New Roman"/>
              </w:rPr>
              <w:t>8 628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8A1B56" w:rsidRDefault="0097315C" w:rsidP="00973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A1B56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8A1B56" w:rsidRDefault="0097315C" w:rsidP="00973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A1B56">
              <w:rPr>
                <w:rFonts w:ascii="Times New Roman" w:hAnsi="Times New Roman"/>
              </w:rPr>
              <w:t>0,090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8A1B56" w:rsidRDefault="0097315C" w:rsidP="00973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A1B56">
              <w:rPr>
                <w:rFonts w:ascii="Times New Roman" w:hAnsi="Times New Roman"/>
              </w:rPr>
              <w:t>8 628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8A1B56" w:rsidRDefault="0097315C" w:rsidP="00973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A1B56">
              <w:rPr>
                <w:rFonts w:ascii="Times New Roman" w:hAnsi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8A1B56" w:rsidRDefault="0097315C" w:rsidP="00973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A1B56">
              <w:rPr>
                <w:rFonts w:ascii="Times New Roman" w:hAnsi="Times New Roman"/>
              </w:rPr>
              <w:t>0,090</w:t>
            </w:r>
          </w:p>
        </w:tc>
      </w:tr>
      <w:tr w:rsidR="0097315C" w:rsidRPr="00D07695" w:rsidTr="00207A25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C943B3" w:rsidRDefault="0097315C" w:rsidP="0097315C">
            <w:pPr>
              <w:jc w:val="center"/>
              <w:rPr>
                <w:rFonts w:ascii="Times New Roman" w:hAnsi="Times New Roman"/>
                <w:szCs w:val="22"/>
              </w:rPr>
            </w:pPr>
            <w:r w:rsidRPr="00C7305D">
              <w:rPr>
                <w:rFonts w:ascii="Times New Roman" w:hAnsi="Times New Roman"/>
                <w:szCs w:val="22"/>
              </w:rPr>
              <w:t>9 41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CB579B" w:rsidRDefault="0097315C" w:rsidP="0097315C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7305D"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CB579B" w:rsidRDefault="0097315C" w:rsidP="0097315C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7305D">
              <w:rPr>
                <w:rFonts w:ascii="Times New Roman" w:hAnsi="Times New Roman"/>
                <w:szCs w:val="22"/>
              </w:rPr>
              <w:t>0,09</w:t>
            </w:r>
            <w:r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CB579B" w:rsidRDefault="0097315C" w:rsidP="0097315C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7305D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  <w:lang w:val="en-US"/>
              </w:rPr>
              <w:t>983 916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CB579B" w:rsidRDefault="0097315C" w:rsidP="0097315C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7305D">
              <w:rPr>
                <w:rFonts w:ascii="Times New Roman" w:hAnsi="Times New Roman"/>
                <w:szCs w:val="22"/>
              </w:rPr>
              <w:t>11</w:t>
            </w:r>
            <w:r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CB579B" w:rsidRDefault="0097315C" w:rsidP="0097315C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7305D">
              <w:rPr>
                <w:rFonts w:ascii="Times New Roman" w:hAnsi="Times New Roman"/>
                <w:szCs w:val="22"/>
              </w:rPr>
              <w:t>4,25</w:t>
            </w:r>
            <w:r>
              <w:rPr>
                <w:rFonts w:ascii="Times New Roman" w:hAnsi="Times New Roman"/>
                <w:szCs w:val="22"/>
                <w:lang w:val="en-US"/>
              </w:rPr>
              <w:t>3</w:t>
            </w:r>
          </w:p>
        </w:tc>
      </w:tr>
      <w:tr w:rsidR="0097315C" w:rsidRPr="00D07695" w:rsidTr="00207A25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58 245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97315C">
            <w:pPr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97315C">
            <w:pPr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 w:rsidRPr="0097315C">
              <w:rPr>
                <w:rFonts w:ascii="Times New Roman" w:hAnsi="Times New Roman"/>
                <w:szCs w:val="22"/>
                <w:highlight w:val="yellow"/>
              </w:rPr>
              <w:t>4,25</w:t>
            </w:r>
            <w:r w:rsidRPr="0097315C">
              <w:rPr>
                <w:rFonts w:ascii="Times New Roman" w:hAnsi="Times New Roman"/>
                <w:szCs w:val="22"/>
                <w:highlight w:val="yellow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782 263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0,574</w:t>
            </w:r>
          </w:p>
        </w:tc>
      </w:tr>
      <w:tr w:rsidR="0097315C" w:rsidRPr="00D07695" w:rsidTr="00207A25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782 263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0,574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875 247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97315C" w:rsidP="008000D0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7315C">
              <w:rPr>
                <w:rFonts w:ascii="Times New Roman" w:hAnsi="Times New Roman"/>
                <w:szCs w:val="22"/>
                <w:highlight w:val="yellow"/>
              </w:rPr>
              <w:t>1,</w:t>
            </w:r>
            <w:r w:rsidR="008000D0">
              <w:rPr>
                <w:rFonts w:ascii="Times New Roman" w:hAnsi="Times New Roman"/>
                <w:szCs w:val="22"/>
                <w:highlight w:val="yellow"/>
              </w:rPr>
              <w:t>00</w:t>
            </w:r>
          </w:p>
        </w:tc>
      </w:tr>
      <w:tr w:rsidR="0097315C" w:rsidRPr="00D07695" w:rsidTr="00207A25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C" w:rsidRPr="00D07695" w:rsidRDefault="0097315C" w:rsidP="0097315C">
            <w:pPr>
              <w:widowControl w:val="0"/>
              <w:rPr>
                <w:rFonts w:ascii="Times New Roman" w:hAnsi="Times New Roman"/>
              </w:rPr>
            </w:pPr>
            <w:r w:rsidRPr="00D07695"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875 247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8000D0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903 571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97315C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5C" w:rsidRPr="0097315C" w:rsidRDefault="008000D0" w:rsidP="008000D0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1</w:t>
            </w:r>
            <w:r w:rsidR="0097315C" w:rsidRPr="0097315C">
              <w:rPr>
                <w:rFonts w:ascii="Times New Roman" w:hAnsi="Times New Roman"/>
                <w:szCs w:val="22"/>
                <w:highlight w:val="yellow"/>
              </w:rPr>
              <w:t>,</w:t>
            </w:r>
            <w:r>
              <w:rPr>
                <w:rFonts w:ascii="Times New Roman" w:hAnsi="Times New Roman"/>
                <w:szCs w:val="22"/>
                <w:highlight w:val="yellow"/>
              </w:rPr>
              <w:t>030</w:t>
            </w:r>
          </w:p>
        </w:tc>
      </w:tr>
    </w:tbl>
    <w:p w:rsidR="00A77966" w:rsidRDefault="00F86E5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sectPr w:rsidR="00A77966">
      <w:headerReference w:type="default" r:id="rId9"/>
      <w:pgSz w:w="11906" w:h="16838"/>
      <w:pgMar w:top="709" w:right="424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F0" w:rsidRDefault="00F86E5B">
      <w:pPr>
        <w:spacing w:after="0" w:line="240" w:lineRule="auto"/>
      </w:pPr>
      <w:r>
        <w:separator/>
      </w:r>
    </w:p>
  </w:endnote>
  <w:endnote w:type="continuationSeparator" w:id="0">
    <w:p w:rsidR="001D6FF0" w:rsidRDefault="00F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F0" w:rsidRDefault="00F86E5B">
      <w:pPr>
        <w:spacing w:after="0" w:line="240" w:lineRule="auto"/>
      </w:pPr>
      <w:r>
        <w:separator/>
      </w:r>
    </w:p>
  </w:footnote>
  <w:footnote w:type="continuationSeparator" w:id="0">
    <w:p w:rsidR="001D6FF0" w:rsidRDefault="00F8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>
    <w:pPr>
      <w:pStyle w:val="af8"/>
      <w:jc w:val="center"/>
    </w:pPr>
  </w:p>
  <w:p w:rsidR="00A77966" w:rsidRDefault="00A77966">
    <w:pPr>
      <w:pStyle w:val="af8"/>
      <w:jc w:val="center"/>
    </w:pPr>
  </w:p>
  <w:p w:rsidR="00A77966" w:rsidRDefault="00A77966">
    <w:pPr>
      <w:pStyle w:val="af8"/>
    </w:pPr>
  </w:p>
  <w:p w:rsidR="00A77966" w:rsidRDefault="00A779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66" w:rsidRDefault="00A779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E0A52"/>
    <w:rsid w:val="0010688C"/>
    <w:rsid w:val="001D6FF0"/>
    <w:rsid w:val="00207A25"/>
    <w:rsid w:val="002850AB"/>
    <w:rsid w:val="003C186A"/>
    <w:rsid w:val="004611C5"/>
    <w:rsid w:val="00532652"/>
    <w:rsid w:val="00542663"/>
    <w:rsid w:val="005F073A"/>
    <w:rsid w:val="00771F66"/>
    <w:rsid w:val="008000D0"/>
    <w:rsid w:val="008248A9"/>
    <w:rsid w:val="00840F37"/>
    <w:rsid w:val="008A1B56"/>
    <w:rsid w:val="008F77BF"/>
    <w:rsid w:val="0097315C"/>
    <w:rsid w:val="00A77966"/>
    <w:rsid w:val="00B231DA"/>
    <w:rsid w:val="00B61C81"/>
    <w:rsid w:val="00B86523"/>
    <w:rsid w:val="00C7305D"/>
    <w:rsid w:val="00C95EC5"/>
    <w:rsid w:val="00CE0F55"/>
    <w:rsid w:val="00D07695"/>
    <w:rsid w:val="00F86E5B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F8F4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Меньщикова Марина Владимировна</cp:lastModifiedBy>
  <cp:revision>13</cp:revision>
  <dcterms:created xsi:type="dcterms:W3CDTF">2023-08-01T01:05:00Z</dcterms:created>
  <dcterms:modified xsi:type="dcterms:W3CDTF">2024-07-23T05:06:00Z</dcterms:modified>
</cp:coreProperties>
</file>