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2F1A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86E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13.10.2022 № 136</w:t>
      </w: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«Об установлении тарифов на услуги по передаче электрической энергии по сетям ООО «28-Электросеть» на 2023-2027 годы»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 xml:space="preserve">«Об электроэнергетике», постановлениями Правительства Российской Федерации от 29.12.2011 № 1178 «О </w:t>
      </w:r>
      <w:r w:rsidRPr="004B4B0E">
        <w:rPr>
          <w:rFonts w:ascii="Times New Roman" w:hAnsi="Times New Roman"/>
          <w:sz w:val="28"/>
        </w:rPr>
        <w:t xml:space="preserve">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="006732FD" w:rsidRPr="004B4B0E">
        <w:rPr>
          <w:rFonts w:ascii="Times New Roman" w:hAnsi="Times New Roman"/>
          <w:sz w:val="28"/>
        </w:rPr>
        <w:t>.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.202</w:t>
      </w:r>
      <w:r w:rsidR="004B4B0E" w:rsidRPr="004B4B0E">
        <w:rPr>
          <w:rFonts w:ascii="Times New Roman" w:hAnsi="Times New Roman"/>
          <w:sz w:val="28"/>
        </w:rPr>
        <w:t>4</w:t>
      </w:r>
      <w:r w:rsidRPr="004B4B0E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приложения 2, 3 к постановлению Региональной службы по тарифам и ценам Камчатского края от 13.10.2022 № 136 «Об установлении тарифов на услуги по передаче электрической энергии по сетям ООО «28-Электросеть» на 2023-2027 годы» изменения, изложив их в редакции, согласно приложени</w:t>
      </w:r>
      <w:r w:rsidR="004B4B0E">
        <w:rPr>
          <w:sz w:val="28"/>
        </w:rPr>
        <w:t>ям 1, 2</w:t>
      </w:r>
      <w:r>
        <w:rPr>
          <w:sz w:val="28"/>
        </w:rPr>
        <w:t>, к настоящему постановлению</w:t>
      </w:r>
      <w:r>
        <w:t>.</w:t>
      </w:r>
    </w:p>
    <w:p w:rsidR="00A77966" w:rsidRDefault="00F86E5B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</w:t>
      </w:r>
      <w:r w:rsidR="004B4B0E">
        <w:rPr>
          <w:sz w:val="28"/>
        </w:rPr>
        <w:t>в силу с 1 января 2025 года.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995F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Pr="004B4B0E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</w:t>
      </w:r>
      <w:r w:rsidRPr="004B4B0E">
        <w:rPr>
          <w:rFonts w:ascii="Times New Roman" w:hAnsi="Times New Roman"/>
          <w:sz w:val="28"/>
        </w:rPr>
        <w:t xml:space="preserve">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4B4B0E">
        <w:rPr>
          <w:rFonts w:ascii="Times New Roman" w:hAnsi="Times New Roman"/>
          <w:sz w:val="28"/>
        </w:rPr>
        <w:t xml:space="preserve">от 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</w:t>
      </w:r>
      <w:r w:rsidR="006732FD" w:rsidRPr="004B4B0E">
        <w:rPr>
          <w:rFonts w:ascii="Times New Roman" w:hAnsi="Times New Roman"/>
          <w:sz w:val="28"/>
          <w:lang w:val="en-US"/>
        </w:rPr>
        <w:t>XX</w:t>
      </w:r>
      <w:r w:rsidRPr="004B4B0E">
        <w:rPr>
          <w:rFonts w:ascii="Times New Roman" w:hAnsi="Times New Roman"/>
          <w:sz w:val="28"/>
        </w:rPr>
        <w:t>.202</w:t>
      </w:r>
      <w:r w:rsidR="004B4B0E" w:rsidRPr="004B4B0E">
        <w:rPr>
          <w:rFonts w:ascii="Times New Roman" w:hAnsi="Times New Roman"/>
          <w:sz w:val="28"/>
        </w:rPr>
        <w:t>4</w:t>
      </w:r>
      <w:r w:rsidRPr="004B4B0E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13.10.2022 № 136</w:t>
      </w: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Необходимая валовая выручка ООО «28-Электросеть»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долгосрочный период регулирования (без учета оплаты потерь) 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– 2027 годы</w:t>
      </w:r>
    </w:p>
    <w:p w:rsidR="00A77966" w:rsidRDefault="00A77966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НВВ ООО «28-Электросеть» без учета оплаты потерь</w:t>
            </w:r>
          </w:p>
        </w:tc>
      </w:tr>
      <w:tr w:rsidR="00A77966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2F126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«28-Электросеть»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8 486</w:t>
            </w:r>
          </w:p>
        </w:tc>
      </w:tr>
      <w:tr w:rsidR="002F126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Pr="002F1A02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7 382</w:t>
            </w:r>
          </w:p>
        </w:tc>
      </w:tr>
      <w:tr w:rsidR="002F126C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C" w:rsidRPr="00840F37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P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10 230</w:t>
            </w:r>
          </w:p>
        </w:tc>
      </w:tr>
      <w:tr w:rsidR="002F126C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C" w:rsidRPr="00840F37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P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9 627</w:t>
            </w:r>
          </w:p>
        </w:tc>
      </w:tr>
      <w:tr w:rsidR="002F126C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Default="002F126C" w:rsidP="002F126C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C" w:rsidRPr="00840F37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C" w:rsidRPr="002F126C" w:rsidRDefault="002F126C" w:rsidP="002F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F126C">
              <w:rPr>
                <w:rFonts w:ascii="Times New Roman" w:hAnsi="Times New Roman"/>
                <w:sz w:val="24"/>
                <w:highlight w:val="yellow"/>
              </w:rPr>
              <w:t>9 92</w:t>
            </w:r>
            <w:r>
              <w:rPr>
                <w:rFonts w:ascii="Times New Roman" w:hAnsi="Times New Roman"/>
                <w:sz w:val="24"/>
                <w:highlight w:val="yellow"/>
              </w:rPr>
              <w:t>4</w:t>
            </w:r>
            <w:bookmarkStart w:id="1" w:name="_GoBack"/>
            <w:bookmarkEnd w:id="1"/>
          </w:p>
        </w:tc>
      </w:tr>
    </w:tbl>
    <w:p w:rsidR="00A77966" w:rsidRDefault="00F86E5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8"/>
        </w:rPr>
        <w:t>;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 w:rsidR="006732FD">
        <w:rPr>
          <w:rFonts w:ascii="Times New Roman" w:hAnsi="Times New Roman"/>
          <w:sz w:val="28"/>
          <w:lang w:val="en-US"/>
        </w:rPr>
        <w:t>XX</w:t>
      </w:r>
      <w:r w:rsidRPr="00840F37">
        <w:rPr>
          <w:rFonts w:ascii="Times New Roman" w:hAnsi="Times New Roman"/>
          <w:sz w:val="28"/>
        </w:rPr>
        <w:t>.</w:t>
      </w:r>
      <w:r w:rsidR="006732FD">
        <w:rPr>
          <w:rFonts w:ascii="Times New Roman" w:hAnsi="Times New Roman"/>
          <w:sz w:val="28"/>
          <w:lang w:val="en-US"/>
        </w:rPr>
        <w:t>XX</w:t>
      </w:r>
      <w:r w:rsidR="006732FD" w:rsidRPr="002F1A02">
        <w:rPr>
          <w:rFonts w:ascii="Times New Roman" w:hAnsi="Times New Roman"/>
          <w:sz w:val="28"/>
        </w:rPr>
        <w:t>.</w:t>
      </w:r>
      <w:r w:rsidRPr="00840F37">
        <w:rPr>
          <w:rFonts w:ascii="Times New Roman" w:hAnsi="Times New Roman"/>
          <w:sz w:val="28"/>
        </w:rPr>
        <w:t>202</w:t>
      </w:r>
      <w:r w:rsidR="004B4B0E"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13.10.2022 № 136</w:t>
      </w:r>
    </w:p>
    <w:p w:rsidR="00A77966" w:rsidRDefault="00A7796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тарифы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по передаче электрической энергии для взаиморасчетов между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ПАО «Камчатскэнерго» и ООО «28-Электросеть»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2023-2027 годы</w:t>
      </w:r>
    </w:p>
    <w:p w:rsidR="00784B6B" w:rsidRDefault="00784B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A77966" w:rsidRDefault="00A77966" w:rsidP="00784B6B">
      <w:pPr>
        <w:widowControl w:val="0"/>
        <w:spacing w:after="0" w:line="240" w:lineRule="auto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710"/>
        <w:gridCol w:w="1134"/>
        <w:gridCol w:w="1276"/>
        <w:gridCol w:w="1134"/>
        <w:gridCol w:w="1134"/>
        <w:gridCol w:w="1134"/>
        <w:gridCol w:w="992"/>
      </w:tblGrid>
      <w:tr w:rsidR="00A77966" w:rsidTr="00771F66">
        <w:trPr>
          <w:trHeight w:val="3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сетевых   </w:t>
            </w:r>
            <w:r>
              <w:rPr>
                <w:rFonts w:ascii="Times New Roman" w:hAnsi="Times New Roman"/>
                <w:sz w:val="24"/>
              </w:rP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полугодие </w:t>
            </w: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br/>
              <w:t>тариф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</w:tr>
      <w:tr w:rsidR="00A77966" w:rsidTr="00771F66">
        <w:trPr>
          <w:trHeight w:val="11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на </w:t>
            </w:r>
            <w:r>
              <w:rPr>
                <w:rFonts w:ascii="Times New Roman" w:hAnsi="Times New Roman"/>
                <w:sz w:val="24"/>
              </w:rPr>
              <w:br/>
              <w:t xml:space="preserve">оплату    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    </w:t>
            </w:r>
            <w:r>
              <w:rPr>
                <w:rFonts w:ascii="Times New Roman" w:hAnsi="Times New Roman"/>
                <w:sz w:val="24"/>
              </w:rPr>
              <w:br/>
              <w:t xml:space="preserve">на оплату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A779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A77966" w:rsidTr="00771F66"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2F126C" w:rsidTr="006732FD">
        <w:trPr>
          <w:trHeight w:val="804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 и ООО «28-Электросеть»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557 100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557 100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jc w:val="center"/>
              <w:rPr>
                <w:rFonts w:ascii="Times New Roman" w:hAnsi="Times New Roman"/>
              </w:rPr>
            </w:pPr>
            <w:r w:rsidRPr="00CA0231">
              <w:rPr>
                <w:rFonts w:ascii="Times New Roman" w:hAnsi="Times New Roman"/>
              </w:rPr>
              <w:t>1,387</w:t>
            </w:r>
          </w:p>
        </w:tc>
      </w:tr>
      <w:tr w:rsidR="002F126C" w:rsidTr="006732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rPr>
                <w:rFonts w:ascii="Times New Roman" w:hAnsi="Times New Roman"/>
              </w:rPr>
              <w:t>557 80</w:t>
            </w:r>
            <w:r w:rsidRPr="00CA0231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rPr>
                <w:rFonts w:ascii="Times New Roman" w:hAnsi="Times New Roman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rPr>
                <w:rFonts w:ascii="Times New Roman" w:hAnsi="Times New Roman"/>
              </w:rPr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rPr>
                <w:rFonts w:ascii="Times New Roman" w:hAnsi="Times New Roman"/>
              </w:rPr>
              <w:t xml:space="preserve">461 </w:t>
            </w:r>
            <w:r w:rsidRPr="00CA0231">
              <w:t>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rPr>
                <w:rFonts w:ascii="Times New Roman" w:hAnsi="Times New Roman"/>
              </w:rPr>
              <w:t>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CA0231" w:rsidRDefault="002F126C" w:rsidP="002F126C">
            <w:pPr>
              <w:autoSpaceDE w:val="0"/>
              <w:autoSpaceDN w:val="0"/>
              <w:adjustRightInd w:val="0"/>
              <w:jc w:val="center"/>
            </w:pPr>
            <w:r w:rsidRPr="00CA0231">
              <w:rPr>
                <w:rFonts w:ascii="Times New Roman" w:hAnsi="Times New Roman"/>
              </w:rPr>
              <w:t>1,32</w:t>
            </w:r>
            <w:r w:rsidRPr="00CA0231">
              <w:t>1</w:t>
            </w:r>
          </w:p>
        </w:tc>
      </w:tr>
      <w:tr w:rsidR="002F126C" w:rsidTr="006732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506 532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1,32</w:t>
            </w:r>
            <w:r w:rsidRPr="002F126C"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938 252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2,225</w:t>
            </w:r>
          </w:p>
        </w:tc>
      </w:tr>
      <w:tr w:rsidR="002F126C" w:rsidTr="006732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938 252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667 4</w:t>
            </w:r>
            <w:r w:rsidRPr="002F126C">
              <w:rPr>
                <w:highlight w:val="yellow"/>
              </w:rPr>
              <w:t>6</w:t>
            </w:r>
            <w:r w:rsidRPr="002F126C">
              <w:rPr>
                <w:rFonts w:ascii="Times New Roman" w:hAnsi="Times New Roman"/>
                <w:highlight w:val="yellow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1,</w:t>
            </w:r>
            <w:r>
              <w:rPr>
                <w:rFonts w:ascii="Times New Roman" w:hAnsi="Times New Roman"/>
                <w:highlight w:val="yellow"/>
              </w:rPr>
              <w:t>668</w:t>
            </w:r>
          </w:p>
        </w:tc>
      </w:tr>
      <w:tr w:rsidR="002F126C" w:rsidTr="006732FD">
        <w:trPr>
          <w:trHeight w:val="912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Default="002F126C" w:rsidP="002F1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667 4</w:t>
            </w:r>
            <w:r w:rsidRPr="002F126C">
              <w:rPr>
                <w:highlight w:val="yellow"/>
              </w:rPr>
              <w:t>6</w:t>
            </w:r>
            <w:r w:rsidRPr="002F126C">
              <w:rPr>
                <w:rFonts w:ascii="Times New Roman" w:hAnsi="Times New Roman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1,</w:t>
            </w:r>
            <w:r>
              <w:rPr>
                <w:rFonts w:ascii="Times New Roman" w:hAnsi="Times New Roman"/>
                <w:highlight w:val="yellow"/>
              </w:rPr>
              <w:t>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 xml:space="preserve">688 </w:t>
            </w:r>
            <w:r w:rsidRPr="002F126C">
              <w:rPr>
                <w:highlight w:val="yellow"/>
              </w:rPr>
              <w:t>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F126C" w:rsidRPr="002F126C" w:rsidRDefault="002F126C" w:rsidP="002F126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rFonts w:ascii="Times New Roman" w:hAnsi="Times New Roman"/>
                <w:highlight w:val="yellow"/>
              </w:rPr>
              <w:t>1,</w:t>
            </w:r>
            <w:r>
              <w:rPr>
                <w:rFonts w:ascii="Times New Roman" w:hAnsi="Times New Roman"/>
                <w:highlight w:val="yellow"/>
              </w:rPr>
              <w:t>722</w:t>
            </w:r>
          </w:p>
        </w:tc>
      </w:tr>
    </w:tbl>
    <w:p w:rsidR="00A77966" w:rsidRDefault="00F86E5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 w:rsidR="00A77966">
      <w:headerReference w:type="default" r:id="rId9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>
    <w:pPr>
      <w:pStyle w:val="af8"/>
      <w:jc w:val="center"/>
    </w:pPr>
  </w:p>
  <w:p w:rsidR="00A77966" w:rsidRDefault="00A77966">
    <w:pPr>
      <w:pStyle w:val="af8"/>
      <w:jc w:val="center"/>
    </w:pPr>
  </w:p>
  <w:p w:rsidR="00A77966" w:rsidRDefault="00A77966">
    <w:pPr>
      <w:pStyle w:val="af8"/>
    </w:pPr>
  </w:p>
  <w:p w:rsidR="00A77966" w:rsidRDefault="00A779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71CA8"/>
    <w:rsid w:val="001C37EB"/>
    <w:rsid w:val="001D6FF0"/>
    <w:rsid w:val="002B289E"/>
    <w:rsid w:val="002F126C"/>
    <w:rsid w:val="002F1A02"/>
    <w:rsid w:val="004B4B0E"/>
    <w:rsid w:val="004C2178"/>
    <w:rsid w:val="00532652"/>
    <w:rsid w:val="006732FD"/>
    <w:rsid w:val="006A1D53"/>
    <w:rsid w:val="00771F66"/>
    <w:rsid w:val="00784B6B"/>
    <w:rsid w:val="007F0902"/>
    <w:rsid w:val="00840F37"/>
    <w:rsid w:val="008D1BA4"/>
    <w:rsid w:val="008F77BF"/>
    <w:rsid w:val="00995FA7"/>
    <w:rsid w:val="00A54A52"/>
    <w:rsid w:val="00A77966"/>
    <w:rsid w:val="00AE27FF"/>
    <w:rsid w:val="00B53F8E"/>
    <w:rsid w:val="00BE2338"/>
    <w:rsid w:val="00E565F4"/>
    <w:rsid w:val="00F1644A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B33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Меньщикова Марина Владимировна</cp:lastModifiedBy>
  <cp:revision>21</cp:revision>
  <cp:lastPrinted>2023-10-27T02:08:00Z</cp:lastPrinted>
  <dcterms:created xsi:type="dcterms:W3CDTF">2023-07-19T03:47:00Z</dcterms:created>
  <dcterms:modified xsi:type="dcterms:W3CDTF">2024-07-23T05:00:00Z</dcterms:modified>
</cp:coreProperties>
</file>