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  <w:r>
        <w:rPr>
          <w:rFonts w:ascii="Times New Roman" w:hAnsi="Times New Roman"/>
          <w:b w:val="1"/>
          <w:sz w:val="28"/>
        </w:rPr>
        <w:t xml:space="preserve"> ЛЕСНОГО</w:t>
      </w:r>
      <w:r>
        <w:rPr>
          <w:rFonts w:ascii="Times New Roman" w:hAnsi="Times New Roman"/>
          <w:b w:val="1"/>
          <w:sz w:val="28"/>
        </w:rPr>
        <w:t xml:space="preserve"> И ОХОТНИЧЬЕГО</w:t>
      </w:r>
      <w:r>
        <w:rPr>
          <w:rFonts w:ascii="Times New Roman" w:hAnsi="Times New Roman"/>
          <w:b w:val="1"/>
          <w:sz w:val="28"/>
        </w:rPr>
        <w:t xml:space="preserve"> ХОЗЯЙСТВА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норм допустимой добычи охотничьих ресурсов, в отношении которых не устанавливается лимит добычи, при осуществлении любительской и спортивной охоты, и норм пропускной способности охотничьих угодий, на территории Камчатского края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2 статьи 34 и частью 5 статьи 38 Федерального закона от 24.07.2009 № 209-ФЗ «Об охоте и о сохранении охотничьих ресурсов,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</w:rPr>
        <w:t>пунктом 25.12 Положения о</w:t>
      </w:r>
      <w:r>
        <w:rPr>
          <w:rFonts w:ascii="Times New Roman" w:hAnsi="Times New Roman"/>
          <w:sz w:val="28"/>
        </w:rPr>
        <w:t xml:space="preserve"> Министерстве лесного и охотничьего хозяйства Камчатского края, утвержденного постановлением Правительства Камчатского края от 14.05.2024 № 223-П, </w:t>
      </w:r>
      <w:r>
        <w:rPr>
          <w:rFonts w:ascii="Times New Roman" w:hAnsi="Times New Roman"/>
          <w:color w:val="000000"/>
          <w:sz w:val="28"/>
        </w:rPr>
        <w:t>в целях рационального использования охотничьих ресурсов при осуществлении любительской и спортивной охоты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Утвердить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color="000000" w:val="none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допустимой добычи охотничьих ресурсов, в отношении которых не устанавливается лимит добычи, при осуществлении любительской и спортивной охоты на территории Камчатского края согласно приложению 1.</w:t>
      </w:r>
    </w:p>
    <w:p w14:paraId="17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Утвердить прилагаемые </w:t>
      </w:r>
      <w:r>
        <w:rPr>
          <w:rFonts w:ascii="Times New Roman" w:hAnsi="Times New Roman"/>
          <w:color w:val="000000"/>
          <w:sz w:val="28"/>
          <w:u w:color="000000" w:val="none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пропускной способности охотничьих угодий на территории Камчатского края согласно приложению 2.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Настоящий приказ вступает в силу после дня его официального опубликования.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1867"/>
          <w:hidden w:val="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14:paraId="1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2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</w:rPr>
        <w:t>Министерства</w:t>
      </w:r>
    </w:p>
    <w:p w14:paraId="22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есного</w:t>
      </w:r>
      <w:r>
        <w:rPr>
          <w:rFonts w:ascii="Times New Roman" w:hAnsi="Times New Roman"/>
          <w:sz w:val="28"/>
        </w:rPr>
        <w:t xml:space="preserve"> и охотничьего</w:t>
      </w:r>
      <w:r>
        <w:rPr>
          <w:rFonts w:ascii="Times New Roman" w:hAnsi="Times New Roman"/>
          <w:sz w:val="28"/>
        </w:rPr>
        <w:t xml:space="preserve"> хозяйства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00000">
      <w:pPr>
        <w:widowControl w:val="1"/>
        <w:spacing w:after="0" w:before="0" w:line="240" w:lineRule="auto"/>
        <w:ind w:firstLine="540" w:left="0" w:right="0"/>
        <w:jc w:val="center"/>
        <w:rPr>
          <w:rFonts w:ascii="Times New Roman" w:hAnsi="Times New Roman"/>
          <w:sz w:val="28"/>
        </w:rPr>
      </w:pPr>
    </w:p>
    <w:p w14:paraId="28000000">
      <w:pPr>
        <w:widowControl w:val="1"/>
        <w:spacing w:after="0" w:before="0" w:line="240" w:lineRule="auto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Нормы </w:t>
      </w:r>
    </w:p>
    <w:p w14:paraId="29000000">
      <w:pPr>
        <w:widowControl w:val="1"/>
        <w:spacing w:after="0" w:before="0" w:line="240" w:lineRule="auto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допустимой добычи охотничьих ресурсов, в отношении которых не устанавливается лимит добычи, при осуществлении любительской и спортивной охоты на территории Камчатского края</w:t>
      </w:r>
    </w:p>
    <w:p w14:paraId="2A000000">
      <w:pPr>
        <w:widowControl w:val="1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</w:p>
    <w:p w14:paraId="2B000000">
      <w:pPr>
        <w:widowControl w:val="1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Нормы допустимой добычи охотничьих ресурсов, в отношении которых не устанавливается лимит добычи, при осуществлении любительской и спортивной охоты на территории Камчатского края приведены в следующей таблице:</w:t>
      </w: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41"/>
        <w:gridCol w:w="3854"/>
        <w:gridCol w:w="2212"/>
        <w:gridCol w:w="2898"/>
      </w:tblGrid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(группа видов) охотничьих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 добычи в день (особей) на одного охотника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 добычи за сезон (особей) на одного охотника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Волк </w:t>
            </w:r>
          </w:p>
        </w:tc>
        <w:tc>
          <w:tcPr>
            <w:tcW w:type="dxa" w:w="5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Лисица обыкновенная</w:t>
            </w:r>
          </w:p>
        </w:tc>
        <w:tc>
          <w:tcPr>
            <w:tcW w:type="dxa" w:w="5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Росомаха 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устанавливается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"./Об"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&lt;2&gt;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Ласка </w:t>
            </w:r>
          </w:p>
        </w:tc>
        <w:tc>
          <w:tcPr>
            <w:tcW w:type="dxa" w:w="5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Горностай</w:t>
            </w:r>
          </w:p>
        </w:tc>
        <w:tc>
          <w:tcPr>
            <w:tcW w:type="dxa" w:w="5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Норка американская</w:t>
            </w:r>
          </w:p>
        </w:tc>
        <w:tc>
          <w:tcPr>
            <w:tcW w:type="dxa" w:w="5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Заяц-беляк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Сурок </w:t>
            </w:r>
            <w:r>
              <w:rPr>
                <w:rFonts w:ascii="Times New Roman" w:hAnsi="Times New Roman"/>
                <w:color w:val="000000"/>
                <w:sz w:val="24"/>
              </w:rPr>
              <w:t>черношапочный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камчатский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устанавливается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"./Об"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&lt;2&gt;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Суслик </w:t>
            </w:r>
            <w:r>
              <w:rPr>
                <w:rFonts w:ascii="Times New Roman" w:hAnsi="Times New Roman"/>
                <w:b w:val="0"/>
                <w:sz w:val="24"/>
              </w:rPr>
              <w:t>берингийский (длиннохвостый)</w:t>
            </w:r>
          </w:p>
        </w:tc>
        <w:tc>
          <w:tcPr>
            <w:tcW w:type="dxa" w:w="5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Белка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обыкновенная, летяга</w:t>
            </w:r>
          </w:p>
        </w:tc>
        <w:tc>
          <w:tcPr>
            <w:tcW w:type="dxa" w:w="5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Ондатра</w:t>
            </w:r>
          </w:p>
        </w:tc>
        <w:tc>
          <w:tcPr>
            <w:tcW w:type="dxa" w:w="5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Гуси в весенний период охоты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Гуси в летне-осенний период охоты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Каменный глухарь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"./Об"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&lt;2&gt;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Куропатки 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Болотно-луговая дичь (кулики)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</w:t>
            </w:r>
          </w:p>
        </w:tc>
      </w:tr>
    </w:tbl>
    <w:p w14:paraId="70000000">
      <w:pPr>
        <w:widowControl w:val="1"/>
        <w:spacing w:after="0" w:before="20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&lt;1&gt;</w:t>
      </w:r>
      <w:r>
        <w:rPr>
          <w:rFonts w:ascii="Times New Roman" w:hAnsi="Times New Roman"/>
          <w:color w:val="000000"/>
          <w:sz w:val="28"/>
        </w:rPr>
        <w:t xml:space="preserve"> кроме видов, подвидов и популяций, занесенных в Красную книгу Российской Федерации и (или) Красную книгу Камчатского края;</w:t>
      </w:r>
    </w:p>
    <w:p w14:paraId="71000000">
      <w:pPr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&lt;2&gt;</w:t>
      </w:r>
      <w:r>
        <w:rPr>
          <w:rFonts w:ascii="Times New Roman" w:hAnsi="Times New Roman"/>
          <w:color w:val="000000"/>
          <w:sz w:val="28"/>
        </w:rPr>
        <w:t xml:space="preserve"> при условии не превышения нормативов допустимого изъятия, установленных приказом Минприроды России от 27.01.2022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49                  «Об утвержд</w:t>
      </w:r>
      <w:r>
        <w:rPr>
          <w:rFonts w:ascii="Times New Roman" w:hAnsi="Times New Roman"/>
          <w:sz w:val="28"/>
        </w:rPr>
        <w:t xml:space="preserve">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25.11.2020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965».</w:t>
      </w:r>
    </w:p>
    <w:p w14:paraId="7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7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</w:rPr>
        <w:t>Министерства</w:t>
      </w:r>
    </w:p>
    <w:p w14:paraId="74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есного</w:t>
      </w:r>
      <w:r>
        <w:rPr>
          <w:rFonts w:ascii="Times New Roman" w:hAnsi="Times New Roman"/>
          <w:sz w:val="28"/>
        </w:rPr>
        <w:t xml:space="preserve"> и охотничьего</w:t>
      </w:r>
      <w:r>
        <w:rPr>
          <w:rFonts w:ascii="Times New Roman" w:hAnsi="Times New Roman"/>
          <w:sz w:val="28"/>
        </w:rPr>
        <w:t xml:space="preserve"> хозяйства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5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9000000"/>
    <w:p w14:paraId="7A000000">
      <w:pPr>
        <w:spacing w:line="240" w:lineRule="auto"/>
        <w:ind/>
        <w:jc w:val="center"/>
      </w:pPr>
      <w:r>
        <w:rPr>
          <w:rFonts w:ascii="Times New Roman" w:hAnsi="Times New Roman"/>
          <w:color w:val="000000"/>
          <w:sz w:val="28"/>
          <w:u w:color="000000" w:val="none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пропускной способности охотничьих угодий </w:t>
      </w:r>
      <w:r>
        <w:rPr>
          <w:rFonts w:ascii="Times New Roman" w:hAnsi="Times New Roman"/>
          <w:color w:val="000000"/>
          <w:sz w:val="28"/>
        </w:rPr>
        <w:t xml:space="preserve">на территории Камчатского края </w:t>
      </w:r>
      <w:r>
        <w:rPr>
          <w:rFonts w:ascii="Times New Roman" w:hAnsi="Times New Roman"/>
          <w:color w:val="0000FF"/>
          <w:sz w:val="28"/>
        </w:rPr>
        <w:t>&lt;*&gt;</w:t>
      </w:r>
    </w:p>
    <w:p w14:paraId="7B000000">
      <w:pPr>
        <w:widowControl w:val="1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>Нормы пропускной способности охотничьих угодий на территории Камчатского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FF"/>
          <w:sz w:val="28"/>
        </w:rPr>
        <w:t>&lt;*&gt;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приведены в следующей таблице:</w:t>
      </w: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40"/>
        <w:gridCol w:w="3895"/>
        <w:gridCol w:w="2070"/>
        <w:gridCol w:w="3015"/>
      </w:tblGrid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охоты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участников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площадь пригодных для охоты угодий (не менее)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охота с подсадной уткой или чучелами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охотник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га водно-болотных угодий (при весеннем уровне воды)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глухариных токах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охотник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га площади одного тока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охота на гусей с профилями (чучелами)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до 4 охотников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га водно-болотных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охота на бурого медведя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охотник или группа участников коллективной охоты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2000 - 3000 га пригодных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Осенняя охота на водоплавающую дичь на перелетах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охотник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га пригодных для охоты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Охота на болотно-луговую, боровую дичь с собаками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одной подружейной собакой не более 3 охотников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га пригодных для охоты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водоплавающую и болотно-луговую дичь с подхода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охотник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га пригодных для охоты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Осенняя охота на уток с чучелами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охотник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га пригодных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Охота на снежного барана с подхода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1 - 2 охотника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га пригодных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Осенне-зимняя охота с собаками на боровую дичь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охотник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2000 - 3000 га пригодных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Осенне-зимняя охота с собаками на пушные виды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1 - 2 охотника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2000 - 3000 га пригодных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Осенняя охота с собаками на медведя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1 - 2 охотника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2000 - 3000 га пригодных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Осенне-зимняя охота с гончей собакой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2 - 4 охотника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1000 - 2000 га пригодных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Охота на волка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4 - 6 охотников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3000 - 5000 га пригодных, угодий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зайца с подхода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охотник</w:t>
            </w:r>
          </w:p>
        </w:tc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0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1000 - 2000 га пригодных для охоты угодий</w:t>
            </w:r>
          </w:p>
        </w:tc>
      </w:tr>
    </w:tbl>
    <w:p w14:paraId="C0000000">
      <w:pPr>
        <w:widowControl w:val="1"/>
        <w:spacing w:after="0" w:before="20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FF"/>
          <w:sz w:val="28"/>
        </w:rPr>
        <w:t>&lt;*&gt;</w:t>
      </w:r>
      <w:r>
        <w:rPr>
          <w:rFonts w:ascii="Times New Roman" w:hAnsi="Times New Roman"/>
          <w:sz w:val="28"/>
        </w:rPr>
        <w:t xml:space="preserve"> Утверждаются только в отношении Елизовского района Камчатского края.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themeColor="hyperlink" w:val="0563C1"/>
      <w:u w:val="single"/>
    </w:rPr>
  </w:style>
  <w:style w:styleId="Style_16_ch" w:type="character">
    <w:name w:val="Hyperlink"/>
    <w:basedOn w:val="Style_12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Plain Text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4_ch"/>
    <w:link w:val="Style_27"/>
    <w:rPr>
      <w:rFonts w:ascii="Calibri" w:hAnsi="Calibri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2024-07-10T21:23:30Z</dcterms:modified>
</cp:coreProperties>
</file>