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26" y="0"/>
                <wp:lineTo x="-26" y="20864"/>
                <wp:lineTo x="20942" y="20864"/>
                <wp:lineTo x="20942" y="0"/>
                <wp:lineTo x="-26"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1"/>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618" w:type="dxa"/>
        <w:jc w:val="left"/>
        <w:tblInd w:w="20" w:type="dxa"/>
        <w:tblLayout w:type="fixed"/>
        <w:tblCellMar>
          <w:top w:w="0" w:type="dxa"/>
          <w:left w:w="108" w:type="dxa"/>
          <w:bottom w:w="0" w:type="dxa"/>
          <w:right w:w="108" w:type="dxa"/>
        </w:tblCellMar>
      </w:tblPr>
      <w:tblGrid>
        <w:gridCol w:w="9618"/>
      </w:tblGrid>
      <w:tr>
        <w:trPr/>
        <w:tc>
          <w:tcPr>
            <w:tcW w:w="9618" w:type="dxa"/>
            <w:tcBorders>
              <w:top w:val="nil"/>
              <w:left w:val="nil"/>
              <w:bottom w:val="nil"/>
              <w:right w:val="nil"/>
            </w:tcBorders>
          </w:tcPr>
          <w:p>
            <w:pPr>
              <w:pStyle w:val="Normal"/>
              <w:widowControl/>
              <w:suppressAutoHyphens w:val="true"/>
              <w:spacing w:lineRule="auto" w:line="240" w:before="0" w:after="0"/>
              <w:ind w:hanging="0" w:left="0" w:right="0"/>
              <w:jc w:val="center"/>
              <w:rPr>
                <w:rFonts w:ascii="Times New Roman" w:hAnsi="Times New Roman"/>
                <w:b/>
                <w:color w:val="000000"/>
                <w:sz w:val="28"/>
              </w:rPr>
            </w:pPr>
            <w:r>
              <w:rPr>
                <w:rFonts w:ascii="Times New Roman" w:hAnsi="Times New Roman"/>
                <w:b/>
                <w:color w:val="000000"/>
                <w:spacing w:val="0"/>
                <w:kern w:val="0"/>
                <w:sz w:val="28"/>
                <w:szCs w:val="20"/>
              </w:rPr>
              <w:t>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В соответствии с частями 6</w:t>
      </w:r>
      <w:r>
        <w:rPr>
          <w:rFonts w:ascii="Times New Roman" w:hAnsi="Times New Roman"/>
          <w:color w:val="000000"/>
          <w:sz w:val="28"/>
          <w:vertAlign w:val="superscript"/>
        </w:rPr>
        <w:t>2</w:t>
      </w:r>
      <w:r>
        <w:rPr>
          <w:rFonts w:ascii="Times New Roman" w:hAnsi="Times New Roman"/>
          <w:color w:val="000000"/>
          <w:sz w:val="28"/>
        </w:rPr>
        <w:t xml:space="preserve"> и 14 статьи 13 Федерального закона</w:t>
      </w:r>
      <w:r>
        <w:rPr/>
        <w:br/>
      </w:r>
      <w:r>
        <w:rPr>
          <w:rFonts w:ascii="Times New Roman" w:hAnsi="Times New Roman"/>
          <w:color w:val="000000"/>
          <w:sz w:val="28"/>
        </w:rPr>
        <w:t>от 27.07.2010 № 210-ФЗ «Об организации предоставления государственных</w:t>
      </w:r>
      <w:r>
        <w:rPr/>
        <w:br/>
      </w:r>
      <w:r>
        <w:rPr>
          <w:rFonts w:ascii="Times New Roman" w:hAnsi="Times New Roman"/>
          <w:color w:val="000000"/>
          <w:sz w:val="28"/>
        </w:rPr>
        <w:t>и муниципальных услуг»</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ПРАВИТЕЛЬСТВО ПОСТАНОВЛЯЕТ:</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Утвердить порядок разработки и утверждения административных регламентов предоставления государственных услуг исполнительными органами Камчатского края согласно приложению к настоящему постановлению.</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Признать утратившими силу:</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п</w:t>
      </w:r>
      <w:r>
        <w:rPr>
          <w:rFonts w:ascii="Times New Roman" w:hAnsi="Times New Roman"/>
          <w:sz w:val="28"/>
        </w:rPr>
        <w:t>остановление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w:t>
      </w:r>
      <w:r>
        <w:rPr>
          <w:rFonts w:ascii="Times New Roman" w:hAnsi="Times New Roman"/>
          <w:sz w:val="28"/>
        </w:rPr>
        <w:t>остановление Правительства Камчатского края от 28.12.2018 № 574-П «О внесении изменения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п</w:t>
      </w:r>
      <w:r>
        <w:rPr>
          <w:rFonts w:ascii="Times New Roman" w:hAnsi="Times New Roman"/>
          <w:sz w:val="28"/>
        </w:rPr>
        <w:t>остановление Правительства Камчатского края от 25.03.2019 № 143-П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 п</w:t>
      </w:r>
      <w:r>
        <w:rPr>
          <w:rFonts w:ascii="Times New Roman" w:hAnsi="Times New Roman"/>
          <w:sz w:val="28"/>
        </w:rPr>
        <w:t>остановление Правительства Камчатского края от 13.11.2020 № 459-П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5) п</w:t>
      </w:r>
      <w:r>
        <w:rPr>
          <w:rFonts w:ascii="Times New Roman" w:hAnsi="Times New Roman"/>
          <w:sz w:val="28"/>
        </w:rPr>
        <w:t>остановление Правительства Камчатского края от 30.12.2021 № 590-П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осуществления государственного контроля (надзора)</w:t>
      </w:r>
      <w:r>
        <w:rPr/>
        <w:br/>
      </w:r>
      <w:r>
        <w:rPr>
          <w:rFonts w:ascii="Times New Roman" w:hAnsi="Times New Roman"/>
          <w:sz w:val="28"/>
        </w:rPr>
        <w:t>и Административных регламентов предоставления государственных услуг исполнительными органами государственной власти Камчатского края»</w:t>
      </w:r>
      <w:r>
        <w:rPr>
          <w:rFonts w:ascii="Times New Roman" w:hAnsi="Times New Roman"/>
          <w:color w:val="000000"/>
          <w:sz w:val="28"/>
        </w:rPr>
        <w:t>;</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6) п</w:t>
      </w:r>
      <w:r>
        <w:rPr>
          <w:rFonts w:ascii="Times New Roman" w:hAnsi="Times New Roman"/>
          <w:sz w:val="28"/>
        </w:rPr>
        <w:t>остановление Правительства Камчатского края от 15.11.2023 № 562-П «О внесении изменений в Постановление Правительства Камчатского края</w:t>
      </w:r>
      <w:r>
        <w:rPr/>
        <w:br/>
      </w:r>
      <w:r>
        <w:rPr>
          <w:rFonts w:ascii="Times New Roman" w:hAnsi="Times New Roman"/>
          <w:sz w:val="28"/>
        </w:rPr>
        <w:t>от 14.12.2018 №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3. Настоящее постановление вступает в силу через 10 дней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1"/>
        <w:tblW w:w="9700" w:type="dxa"/>
        <w:jc w:val="left"/>
        <w:tblInd w:w="-34" w:type="dxa"/>
        <w:tblLayout w:type="fixed"/>
        <w:tblCellMar>
          <w:top w:w="0" w:type="dxa"/>
          <w:left w:w="0" w:type="dxa"/>
          <w:bottom w:w="0" w:type="dxa"/>
          <w:right w:w="0" w:type="dxa"/>
        </w:tblCellMar>
      </w:tblPr>
      <w:tblGrid>
        <w:gridCol w:w="3578"/>
        <w:gridCol w:w="3543"/>
        <w:gridCol w:w="2579"/>
      </w:tblGrid>
      <w:tr>
        <w:trPr>
          <w:trHeight w:val="2220" w:hRule="atLeast"/>
        </w:trPr>
        <w:tc>
          <w:tcPr>
            <w:tcW w:w="3578" w:type="dxa"/>
            <w:tcBorders/>
            <w:shd w:fill="auto" w:val="clear"/>
          </w:tcPr>
          <w:p>
            <w:pPr>
              <w:pStyle w:val="Normal"/>
              <w:widowControl/>
              <w:suppressAutoHyphens w:val="true"/>
              <w:spacing w:lineRule="auto" w:line="240" w:before="0" w:after="0"/>
              <w:ind w:hanging="0" w:left="30" w:right="27"/>
              <w:jc w:val="left"/>
              <w:rPr>
                <w:rFonts w:ascii="Times New Roman" w:hAnsi="Times New Roman"/>
                <w:sz w:val="24"/>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3543" w:type="dxa"/>
            <w:tcBorders/>
            <w:shd w:fill="auto" w:val="clear"/>
          </w:tcPr>
          <w:p>
            <w:pPr>
              <w:pStyle w:val="Normal"/>
              <w:widowControl/>
              <w:suppressAutoHyphens w:val="true"/>
              <w:spacing w:lineRule="auto" w:line="240" w:before="0" w:after="0"/>
              <w:ind w:hanging="3" w:left="3" w:right="0"/>
              <w:jc w:val="left"/>
              <w:rPr>
                <w:rFonts w:ascii="Times New Roman" w:hAnsi="Times New Roman"/>
                <w:color w:val="FFFFFF"/>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suppressAutoHyphens w:val="true"/>
              <w:spacing w:lineRule="auto" w:line="240" w:before="0" w:after="0"/>
              <w:ind w:hanging="142" w:left="142" w:right="0"/>
              <w:jc w:val="left"/>
              <w:rPr>
                <w:rFonts w:ascii="Times New Roman" w:hAnsi="Times New Roman"/>
                <w:sz w:val="24"/>
              </w:rPr>
            </w:pPr>
            <w:r>
              <w:rPr>
                <w:rFonts w:ascii="Times New Roman" w:hAnsi="Times New Roman"/>
                <w:sz w:val="24"/>
              </w:rPr>
            </w:r>
          </w:p>
        </w:tc>
        <w:tc>
          <w:tcPr>
            <w:tcW w:w="2579" w:type="dxa"/>
            <w:tcBorders/>
            <w:shd w:fill="auto" w:val="clear"/>
          </w:tcPr>
          <w:p>
            <w:pPr>
              <w:pStyle w:val="Normal"/>
              <w:widowControl/>
              <w:suppressAutoHyphens w:val="true"/>
              <w:spacing w:lineRule="auto" w:line="240" w:before="0" w:after="0"/>
              <w:ind w:hanging="0" w:left="0" w:right="135"/>
              <w:jc w:val="right"/>
              <w:rPr>
                <w:rFonts w:ascii="Times New Roman" w:hAnsi="Times New Roman"/>
                <w:color w:val="000000"/>
                <w:sz w:val="28"/>
              </w:rPr>
            </w:pPr>
            <w:r>
              <w:rPr>
                <w:rFonts w:ascii="Times New Roman" w:hAnsi="Times New Roman"/>
                <w:color w:val="000000"/>
                <w:sz w:val="28"/>
              </w:rPr>
            </w:r>
          </w:p>
          <w:p>
            <w:pPr>
              <w:pStyle w:val="Normal"/>
              <w:widowControl/>
              <w:suppressAutoHyphens w:val="true"/>
              <w:spacing w:lineRule="auto" w:line="240" w:before="0" w:after="0"/>
              <w:ind w:hanging="0" w:left="0" w:right="0"/>
              <w:jc w:val="right"/>
              <w:rPr>
                <w:rFonts w:ascii="Times New Roman" w:hAnsi="Times New Roman"/>
                <w:color w:val="000000"/>
                <w:sz w:val="24"/>
              </w:rPr>
            </w:pPr>
            <w:r>
              <w:rPr>
                <w:rFonts w:ascii="Times New Roman" w:hAnsi="Times New Roman"/>
                <w:color w:val="000000"/>
                <w:spacing w:val="0"/>
                <w:kern w:val="0"/>
                <w:sz w:val="28"/>
                <w:szCs w:val="20"/>
              </w:rPr>
              <w:t>Е.А. Чекин</w:t>
            </w:r>
          </w:p>
        </w:tc>
      </w:tr>
    </w:tbl>
    <w:p>
      <w:pPr>
        <w:pStyle w:val="Normal"/>
        <w:spacing w:lineRule="auto" w:line="276" w:before="0" w:after="0"/>
        <w:ind w:firstLine="709" w:left="0" w:right="0"/>
        <w:jc w:val="both"/>
        <w:rPr>
          <w:rFonts w:ascii="Times New Roman" w:hAnsi="Times New Roman"/>
          <w:sz w:val="28"/>
        </w:rPr>
      </w:pPr>
      <w:r>
        <w:rPr>
          <w:rFonts w:ascii="Times New Roman" w:hAnsi="Times New Roman"/>
          <w:sz w:val="28"/>
        </w:rPr>
      </w:r>
    </w:p>
    <w:p>
      <w:pPr>
        <w:pStyle w:val="Normal"/>
        <w:rPr/>
      </w:pPr>
      <w:r>
        <w:rPr/>
      </w:r>
      <w:r>
        <w:br w:type="page"/>
      </w:r>
    </w:p>
    <w:tbl>
      <w:tblPr>
        <w:tblStyle w:val="Style_2"/>
        <w:tblW w:w="9637" w:type="dxa"/>
        <w:jc w:val="left"/>
        <w:tblInd w:w="0" w:type="dxa"/>
        <w:tblLayout w:type="fixed"/>
        <w:tblCellMar>
          <w:top w:w="0" w:type="dxa"/>
          <w:left w:w="108" w:type="dxa"/>
          <w:bottom w:w="0" w:type="dxa"/>
          <w:right w:w="108" w:type="dxa"/>
        </w:tblCellMar>
      </w:tblPr>
      <w:tblGrid>
        <w:gridCol w:w="478"/>
        <w:gridCol w:w="480"/>
        <w:gridCol w:w="481"/>
        <w:gridCol w:w="3661"/>
        <w:gridCol w:w="480"/>
        <w:gridCol w:w="1871"/>
        <w:gridCol w:w="486"/>
        <w:gridCol w:w="1698"/>
      </w:tblGrid>
      <w:tr>
        <w:trPr/>
        <w:tc>
          <w:tcPr>
            <w:tcW w:w="478" w:type="dxa"/>
            <w:tcBorders>
              <w:top w:val="nil"/>
              <w:left w:val="nil"/>
              <w:bottom w:val="nil"/>
              <w:right w:val="nil"/>
            </w:tcBorders>
          </w:tcPr>
          <w:p>
            <w:pPr>
              <w:pStyle w:val="Normal"/>
              <w:pageBreakBefore/>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 xml:space="preserve">Приложение </w:t>
            </w:r>
            <w:bookmarkStart w:id="2" w:name="_GoBack"/>
            <w:bookmarkEnd w:id="2"/>
            <w:r>
              <w:rPr>
                <w:rFonts w:ascii="Times New Roman" w:hAnsi="Times New Roman"/>
                <w:color w:val="000000"/>
                <w:spacing w:val="0"/>
                <w:kern w:val="0"/>
                <w:sz w:val="28"/>
                <w:szCs w:val="20"/>
              </w:rPr>
              <w:t>к постановлению</w:t>
            </w:r>
          </w:p>
        </w:tc>
      </w:tr>
      <w:tr>
        <w:trPr/>
        <w:tc>
          <w:tcPr>
            <w:tcW w:w="478"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35" w:type="dxa"/>
            <w:gridSpan w:val="4"/>
            <w:tcBorders>
              <w:top w:val="nil"/>
              <w:left w:val="nil"/>
              <w:bottom w:val="nil"/>
              <w:right w:val="nil"/>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color w:val="000000"/>
                <w:spacing w:val="0"/>
                <w:kern w:val="0"/>
                <w:sz w:val="28"/>
                <w:szCs w:val="20"/>
              </w:rPr>
              <w:t>Правительства Камчатского края</w:t>
            </w:r>
          </w:p>
        </w:tc>
      </w:tr>
      <w:tr>
        <w:trPr/>
        <w:tc>
          <w:tcPr>
            <w:tcW w:w="478"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1"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3661"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0"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от</w:t>
            </w:r>
          </w:p>
        </w:tc>
        <w:tc>
          <w:tcPr>
            <w:tcW w:w="1871"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6"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sz w:val="28"/>
              </w:rPr>
            </w:pPr>
            <w:r>
              <w:rPr>
                <w:rFonts w:ascii="Times New Roman" w:hAnsi="Times New Roman"/>
                <w:color w:val="000000"/>
                <w:spacing w:val="0"/>
                <w:kern w:val="0"/>
                <w:sz w:val="28"/>
                <w:szCs w:val="20"/>
              </w:rPr>
              <w:t>№</w:t>
            </w:r>
          </w:p>
        </w:tc>
        <w:tc>
          <w:tcPr>
            <w:tcW w:w="1698" w:type="dxa"/>
            <w:tcBorders>
              <w:top w:val="nil"/>
              <w:left w:val="nil"/>
              <w:bottom w:val="nil"/>
              <w:right w:val="nil"/>
            </w:tcBorders>
          </w:tcPr>
          <w:p>
            <w:pPr>
              <w:pStyle w:val="Normal"/>
              <w:widowContro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rPr>
          <w:rFonts w:ascii="Times New Roman" w:hAnsi="Times New Roman"/>
          <w:color w:val="000000"/>
          <w:sz w:val="28"/>
        </w:rPr>
      </w:pPr>
      <w:r>
        <w:rPr>
          <w:rFonts w:ascii="Times New Roman" w:hAnsi="Times New Roman"/>
          <w:color w:val="000000"/>
          <w:sz w:val="28"/>
        </w:rPr>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 xml:space="preserve">Порядок </w:t>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разработки и утверждения административных регламентов предоставления государственных услуг исполнительными органами Камчатского края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1. Общие положения</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1. Настоящий Порядок устанавливает порядок разработки и утверждения административных регламентов предоставления государственных услуг </w:t>
      </w:r>
      <w:r>
        <w:rPr>
          <w:rFonts w:ascii="Times New Roman" w:hAnsi="Times New Roman"/>
          <w:color w:val="000000"/>
          <w:sz w:val="28"/>
        </w:rPr>
        <w:t>исполнительными органами Камчатского края</w:t>
      </w:r>
      <w:r>
        <w:rPr>
          <w:rFonts w:ascii="Times New Roman" w:hAnsi="Times New Roman"/>
          <w:b w:val="false"/>
          <w:color w:val="000000"/>
          <w:sz w:val="28"/>
        </w:rPr>
        <w:t xml:space="preserve"> (далее – административный регламент).</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Административные регламенты разрабатываются и утверждаются органами, предоставляющими государственные услуги, если иное</w:t>
      </w:r>
      <w:r>
        <w:rPr/>
        <w:br/>
      </w:r>
      <w:r>
        <w:rPr>
          <w:rFonts w:ascii="Times New Roman" w:hAnsi="Times New Roman"/>
          <w:b w:val="false"/>
          <w:color w:val="000000"/>
          <w:sz w:val="28"/>
        </w:rPr>
        <w:t>не установлено федеральными законами.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Административные регламенты разрабатываются в соответствии</w:t>
      </w:r>
      <w:r>
        <w:rPr/>
        <w:br/>
      </w:r>
      <w:r>
        <w:rPr>
          <w:rFonts w:ascii="Times New Roman" w:hAnsi="Times New Roman"/>
          <w:b w:val="false"/>
          <w:color w:val="000000"/>
          <w:sz w:val="28"/>
        </w:rPr>
        <w:t>с федеральными законами, нормативными правовыми актами Президента Российской Федерации, Правительства Российской Федерации и Правительства Камчатского края, а также в соответствии с единым стандартом предоставления государственной услуги (при его наличии) после публикации сведений</w:t>
      </w:r>
      <w:r>
        <w:rPr/>
        <w:br/>
      </w:r>
      <w:r>
        <w:rPr>
          <w:rFonts w:ascii="Times New Roman" w:hAnsi="Times New Roman"/>
          <w:b w:val="false"/>
          <w:color w:val="000000"/>
          <w:sz w:val="28"/>
        </w:rPr>
        <w:t>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w:t>
      </w:r>
      <w:r>
        <w:rPr/>
        <w:br/>
      </w:r>
      <w:r>
        <w:rPr>
          <w:rFonts w:ascii="Times New Roman" w:hAnsi="Times New Roman"/>
          <w:b w:val="false"/>
          <w:color w:val="000000"/>
          <w:sz w:val="28"/>
        </w:rPr>
        <w:t>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не регулируются вопросы, относящиеся к предмету регулирования административного регламента в соответствии с настоящим Порядком.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Исполнение исполнительными органами Камчатского края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исполнительным органом Камчатского края, уполномоченным на проведение экспертизы,</w:t>
      </w:r>
      <w:r>
        <w:rPr/>
        <w:br/>
      </w:r>
      <w:r>
        <w:rPr>
          <w:rFonts w:ascii="Times New Roman" w:hAnsi="Times New Roman"/>
          <w:b w:val="false"/>
          <w:color w:val="000000"/>
          <w:sz w:val="28"/>
        </w:rPr>
        <w:t>с использованием программно-технических средств Реестра.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Разработка административных регламентов включает следующие этапы: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внесение в Реестр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преобразование сведений, указанных в пункте 1 настоящей части,</w:t>
      </w:r>
      <w:r>
        <w:rPr/>
        <w:br/>
      </w:r>
      <w:r>
        <w:rPr>
          <w:rFonts w:ascii="Times New Roman" w:hAnsi="Times New Roman"/>
          <w:b w:val="false"/>
          <w:color w:val="000000"/>
          <w:sz w:val="28"/>
        </w:rPr>
        <w:t xml:space="preserve">в машиночитаемый вид в соответствии с требованиями, предусмотренными </w:t>
      </w:r>
      <w:r>
        <w:rPr>
          <w:rFonts w:ascii="Times New Roman" w:hAnsi="Times New Roman"/>
          <w:b w:val="false"/>
          <w:strike w:val="false"/>
          <w:dstrike w:val="false"/>
          <w:color w:val="000000"/>
          <w:sz w:val="28"/>
        </w:rPr>
        <w:t>частью 3 статьи 12</w:t>
      </w:r>
      <w:r>
        <w:rPr>
          <w:rFonts w:ascii="Times New Roman" w:hAnsi="Times New Roman"/>
          <w:b w:val="false"/>
          <w:color w:val="000000"/>
          <w:sz w:val="28"/>
        </w:rPr>
        <w:t xml:space="preserve"> Федерального закона от 27.07.2010 № 210-ФЗ</w:t>
      </w:r>
      <w:r>
        <w:rPr/>
        <w:br/>
      </w:r>
      <w:r>
        <w:rPr>
          <w:rFonts w:ascii="Times New Roman" w:hAnsi="Times New Roman"/>
          <w:b w:val="false"/>
          <w:color w:val="000000"/>
          <w:sz w:val="28"/>
        </w:rPr>
        <w:t>«Об организации предоставления государственных и муниципальных услуг» (далее – Федеральный закон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автоматическое формирование из сведений, указанных в пункте 2 настоящей части, проекта административного регламента в соответствии</w:t>
      </w:r>
      <w:r>
        <w:rPr/>
        <w:br/>
      </w:r>
      <w:r>
        <w:rPr>
          <w:rFonts w:ascii="Times New Roman" w:hAnsi="Times New Roman"/>
          <w:b w:val="false"/>
          <w:color w:val="000000"/>
          <w:sz w:val="28"/>
        </w:rPr>
        <w:t xml:space="preserve">с требованиями к структуре и содержанию административных регламентов, установленными </w:t>
      </w:r>
      <w:r>
        <w:rPr>
          <w:rFonts w:ascii="Times New Roman" w:hAnsi="Times New Roman"/>
          <w:b w:val="false"/>
          <w:strike w:val="false"/>
          <w:dstrike w:val="false"/>
          <w:color w:val="000000"/>
          <w:sz w:val="28"/>
        </w:rPr>
        <w:t>разделом 2</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пунктом 3 настоящей части, и его загрузка</w:t>
      </w:r>
      <w:r>
        <w:rPr/>
        <w:br/>
      </w:r>
      <w:r>
        <w:rPr>
          <w:rFonts w:ascii="Times New Roman" w:hAnsi="Times New Roman"/>
          <w:b w:val="false"/>
          <w:color w:val="000000"/>
          <w:sz w:val="28"/>
        </w:rPr>
        <w:t>в Реестр;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5) проведение в отношении проекта административного регламента, сформированного в соответствии с пунктом 4 настоящей части, процедур, предусмотренных </w:t>
      </w:r>
      <w:r>
        <w:rPr>
          <w:rFonts w:ascii="Times New Roman" w:hAnsi="Times New Roman"/>
          <w:b w:val="false"/>
          <w:strike w:val="false"/>
          <w:dstrike w:val="false"/>
          <w:color w:val="000000"/>
          <w:sz w:val="28"/>
        </w:rPr>
        <w:t>разделами 3</w:t>
      </w:r>
      <w:r>
        <w:rPr>
          <w:rFonts w:ascii="Times New Roman" w:hAnsi="Times New Roman"/>
          <w:b w:val="false"/>
          <w:color w:val="000000"/>
          <w:sz w:val="28"/>
        </w:rPr>
        <w:t xml:space="preserve"> и 4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Сведения о государственной услуге, указанные в пункте 1</w:t>
      </w:r>
      <w:r>
        <w:rPr>
          <w:rFonts w:ascii="Times New Roman" w:hAnsi="Times New Roman"/>
          <w:b w:val="false"/>
          <w:strike w:val="false"/>
          <w:dstrike w:val="false"/>
          <w:color w:val="000000"/>
          <w:sz w:val="28"/>
        </w:rPr>
        <w:t xml:space="preserve"> части 5</w:t>
      </w:r>
      <w:r>
        <w:rPr>
          <w:rFonts w:ascii="Times New Roman" w:hAnsi="Times New Roman"/>
          <w:b w:val="false"/>
          <w:color w:val="000000"/>
          <w:sz w:val="28"/>
        </w:rPr>
        <w:t xml:space="preserve"> настоящего Порядка, должны быть достаточны для: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определения всех возможных категорий заявителей, обратившихся</w:t>
        <w:br/>
        <w:t>за одним результатом предоставления государственной услуги и объединенных общими признаками;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описания уникальных для каждой категории заявителей, указанной</w:t>
      </w:r>
      <w:r>
        <w:rPr/>
        <w:br/>
      </w:r>
      <w:r>
        <w:rPr>
          <w:rFonts w:ascii="Times New Roman" w:hAnsi="Times New Roman"/>
          <w:b w:val="false"/>
          <w:color w:val="000000"/>
          <w:sz w:val="28"/>
        </w:rPr>
        <w:t>в пункте 1 настоящей части,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w:t>
        <w:br/>
        <w:t>а также о максимальном сроке предоставления государственной услуги</w:t>
        <w:br/>
        <w:t>(далее – вариант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7. Сведения о государственной услуге, преобразованные</w:t>
      </w:r>
      <w:r>
        <w:rPr/>
        <w:br/>
      </w:r>
      <w:r>
        <w:rPr>
          <w:rFonts w:ascii="Times New Roman" w:hAnsi="Times New Roman"/>
          <w:b w:val="false"/>
          <w:color w:val="000000"/>
          <w:sz w:val="28"/>
        </w:rPr>
        <w:t>в машиночитаемый вид в соответствии с пунктом 2</w:t>
      </w:r>
      <w:r>
        <w:rPr>
          <w:rFonts w:ascii="Times New Roman" w:hAnsi="Times New Roman"/>
          <w:b w:val="false"/>
          <w:strike w:val="false"/>
          <w:dstrike w:val="false"/>
          <w:color w:val="000000"/>
          <w:sz w:val="28"/>
        </w:rPr>
        <w:t xml:space="preserve"> части 5</w:t>
      </w:r>
      <w:r>
        <w:rPr>
          <w:rFonts w:ascii="Times New Roman" w:hAnsi="Times New Roman"/>
          <w:b w:val="false"/>
          <w:color w:val="000000"/>
          <w:sz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8. 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r>
        <w:rPr>
          <w:rFonts w:ascii="Times New Roman" w:hAnsi="Times New Roman"/>
          <w:b w:val="false"/>
          <w:strike w:val="false"/>
          <w:dstrike w:val="false"/>
          <w:color w:val="000000"/>
          <w:sz w:val="28"/>
        </w:rPr>
        <w:t>законом</w:t>
      </w:r>
      <w:r>
        <w:rPr>
          <w:rFonts w:ascii="Times New Roman" w:hAnsi="Times New Roman"/>
          <w:b w:val="false"/>
          <w:color w:val="000000"/>
          <w:sz w:val="28"/>
        </w:rPr>
        <w:t xml:space="preserve">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9.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2. Требования к структуре и содержанию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10. В административный регламент включаются следующие разделы: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общие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стандарт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состав, последовательность и сроки выполнения административных процедур;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формы контроля за исполнением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rPr>
          <w:rFonts w:ascii="Times New Roman" w:hAnsi="Times New Roman"/>
          <w:b w:val="false"/>
          <w:strike w:val="false"/>
          <w:dstrike w:val="false"/>
          <w:color w:val="000000"/>
          <w:sz w:val="28"/>
        </w:rPr>
        <w:t>части 1.1 статьи 16</w:t>
      </w:r>
      <w:r>
        <w:rPr>
          <w:rFonts w:ascii="Times New Roman" w:hAnsi="Times New Roman"/>
          <w:b w:val="false"/>
          <w:color w:val="000000"/>
          <w:sz w:val="28"/>
        </w:rPr>
        <w:t xml:space="preserve"> Федерального закона «Об организации предоставления государственных</w:t>
      </w:r>
      <w:r>
        <w:rPr/>
        <w:br/>
      </w:r>
      <w:r>
        <w:rPr>
          <w:rFonts w:ascii="Times New Roman" w:hAnsi="Times New Roman"/>
          <w:b w:val="false"/>
          <w:color w:val="000000"/>
          <w:sz w:val="28"/>
        </w:rPr>
        <w:t>и муниципальных услуг», а также их должностных лиц, государственных</w:t>
      </w:r>
      <w:r>
        <w:rPr/>
        <w:br/>
      </w:r>
      <w:r>
        <w:rPr>
          <w:rFonts w:ascii="Times New Roman" w:hAnsi="Times New Roman"/>
          <w:b w:val="false"/>
          <w:color w:val="000000"/>
          <w:sz w:val="28"/>
        </w:rPr>
        <w:t>или муниципальных служащих, работников.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11. В раздел «Общие положения»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предмет регулирования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круг заявителей;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требование предоставления заявителю государственной услуги</w:t>
      </w:r>
      <w:r>
        <w:rPr/>
        <w:br/>
      </w:r>
      <w:r>
        <w:rPr>
          <w:rFonts w:ascii="Times New Roman" w:hAnsi="Times New Roman"/>
          <w:b w:val="false"/>
          <w:color w:val="000000"/>
          <w:sz w:val="28"/>
        </w:rPr>
        <w:t>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w:t>
      </w:r>
      <w:r>
        <w:rPr/>
        <w:br/>
      </w:r>
      <w:r>
        <w:rPr>
          <w:rFonts w:ascii="Times New Roman" w:hAnsi="Times New Roman"/>
          <w:b w:val="false"/>
          <w:color w:val="000000"/>
          <w:sz w:val="28"/>
        </w:rPr>
        <w:t>(далее – профилирование), а также результата, за предоставлением которого обратился заявитель.</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12. Раздел «Стандарт предоставления государственной услуги» состоит из следующих подразделов: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результат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срок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правовые основания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исчерпывающий перечень документов,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7) исчерпывающий перечень оснований для отказа в приеме документов,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9) размер платы, взимаемой с заявителя при предоставлении государственной услуги, и способы ее взимания;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11) срок регистрации запроса заявителя о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12) требования к помещениям, в которых предоставляются государственные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13) показатели доступности и качества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14) иные требования к предоставлению государственной услуги, в том числе учитывающие особенности предоставления государственных</w:t>
      </w:r>
      <w:r>
        <w:rPr/>
        <w:br/>
      </w:r>
      <w:r>
        <w:rPr>
          <w:rFonts w:ascii="Times New Roman" w:hAnsi="Times New Roman"/>
          <w:b w:val="false"/>
          <w:color w:val="000000"/>
          <w:sz w:val="28"/>
        </w:rPr>
        <w:t>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13. Подраздел «Наименование органа, предоставляющего государственную услугу» должен включать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полное наименование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w:t>
        <w:br/>
        <w:t>(в случае, если запрос о предоставлении государственной услуги может быть подан в многофункциональный центр).</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14. Подраздел «Результат предоставления государственной услуги» должен включать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результата (результатов)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способ получения результата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15. Положения, указанные в части</w:t>
      </w:r>
      <w:r>
        <w:rPr>
          <w:rFonts w:ascii="Times New Roman" w:hAnsi="Times New Roman"/>
          <w:b w:val="false"/>
          <w:strike w:val="false"/>
          <w:dstrike w:val="false"/>
          <w:color w:val="000000"/>
          <w:sz w:val="28"/>
        </w:rPr>
        <w:t xml:space="preserve"> 1</w:t>
      </w:r>
      <w:r>
        <w:rPr>
          <w:rFonts w:ascii="Times New Roman" w:hAnsi="Times New Roman"/>
          <w:b w:val="false"/>
          <w:color w:val="000000"/>
          <w:sz w:val="28"/>
        </w:rPr>
        <w:t>4 настоящего Порядка,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16.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w:t>
      </w:r>
      <w:r>
        <w:rPr/>
        <w:br/>
      </w:r>
      <w:r>
        <w:rPr>
          <w:rFonts w:ascii="Times New Roman" w:hAnsi="Times New Roman"/>
          <w:b w:val="false"/>
          <w:color w:val="000000"/>
          <w:sz w:val="28"/>
        </w:rPr>
        <w:t>и (или) информации,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в органе, предоставляющем государственную услугу, в том числе</w:t>
      </w:r>
      <w:r>
        <w:rPr/>
        <w:br/>
      </w:r>
      <w:r>
        <w:rPr>
          <w:rFonts w:ascii="Times New Roman" w:hAnsi="Times New Roman"/>
          <w:b w:val="false"/>
          <w:color w:val="000000"/>
          <w:sz w:val="28"/>
        </w:rPr>
        <w:t>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«Портал государственных и муниципальных услуг (функций) Камчатского края»</w:t>
        <w:br/>
        <w:t>(далее – Региональный портал), на официальном сайте органа, предоставляющего государственную услугу;</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в многофункциональном центре в случае, если запрос и документы</w:t>
      </w:r>
      <w:r>
        <w:rPr/>
        <w:br/>
      </w:r>
      <w:r>
        <w:rPr>
          <w:rFonts w:ascii="Times New Roman" w:hAnsi="Times New Roman"/>
          <w:b w:val="false"/>
          <w:color w:val="000000"/>
          <w:sz w:val="28"/>
        </w:rPr>
        <w:t>и (или) информация, необходимые для предоставления государственной услуги, поданы заявителем в многофункциональном центре.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17. 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18. Подраздел «Правовые основания для предоставления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19. Подраздел «Исчерпывающий перечень документов, необходимых для предоставления государственной услуги» должен включать сведения</w:t>
      </w:r>
      <w:r>
        <w:rPr/>
        <w:br/>
      </w:r>
      <w:r>
        <w:rPr>
          <w:rFonts w:ascii="Times New Roman" w:hAnsi="Times New Roman"/>
          <w:b w:val="false"/>
          <w:color w:val="000000"/>
          <w:sz w:val="28"/>
        </w:rPr>
        <w:t>о приведении исчерпывающего перечня документов, необходимых</w:t>
      </w:r>
      <w:r>
        <w:rPr/>
        <w:br/>
      </w:r>
      <w:r>
        <w:rPr>
          <w:rFonts w:ascii="Times New Roman" w:hAnsi="Times New Roman"/>
          <w:b w:val="false"/>
          <w:color w:val="000000"/>
          <w:sz w:val="28"/>
        </w:rPr>
        <w:t>в соответствии с законодательными и иными нормативными правовыми актами для предоставления государственной услуги, с разделением на документы</w:t>
      </w:r>
      <w:r>
        <w:rPr/>
        <w:br/>
      </w:r>
      <w:r>
        <w:rPr>
          <w:rFonts w:ascii="Times New Roman" w:hAnsi="Times New Roman"/>
          <w:b w:val="false"/>
          <w:color w:val="000000"/>
          <w:sz w:val="28"/>
        </w:rPr>
        <w:t>и информацию, которые заявитель должен представить самостоятельно,</w:t>
      </w:r>
      <w:r>
        <w:rPr/>
        <w:br/>
      </w:r>
      <w:r>
        <w:rPr>
          <w:rFonts w:ascii="Times New Roman" w:hAnsi="Times New Roman"/>
          <w:b w:val="false"/>
          <w:color w:val="000000"/>
          <w:sz w:val="28"/>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Формы запроса о предоставлении государственной услуги и иных документов, подаваемых заявителем в связи с предоставлением государственной услуги, приводятся в качестве приложений</w:t>
        <w:br/>
        <w:t>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Способы подачи запроса о предоставлении государственной услуги приводятся в подразделах административного регламента, содержащих описания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20.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21. Подраздел «Исчерпывающий перечень оснований для приостановления предоставления государственной услуги или отказа</w:t>
        <w:br/>
        <w:t>в предоставлении государственной услуги» должен включать сведения</w:t>
      </w:r>
      <w:r>
        <w:rPr/>
        <w:br/>
      </w:r>
      <w:r>
        <w:rPr>
          <w:rFonts w:ascii="Times New Roman" w:hAnsi="Times New Roman"/>
          <w:b w:val="false"/>
          <w:color w:val="000000"/>
          <w:sz w:val="28"/>
        </w:rPr>
        <w:t>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w:t>
      </w:r>
      <w:r>
        <w:rPr/>
        <w:br/>
      </w:r>
      <w:r>
        <w:rPr>
          <w:rFonts w:ascii="Times New Roman" w:hAnsi="Times New Roman"/>
          <w:b w:val="false"/>
          <w:color w:val="000000"/>
          <w:sz w:val="28"/>
        </w:rPr>
        <w:t>в тексте административного регламента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Исчерпывающий перечень оснований для приостановления предоставления государственной услуги указывается в случае, если возможность приостановления предоставления государственной услуги предусмотрена законодательством Российской Федерации.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22. В подраздел «Размер платы, взимаемой с заявителя при предоставлении государственной услуги, и способы ее взимания»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сведения о размещении на Едином портале информации о размере государственной пошлины или иной платы, взимаемой за предоставление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23. Подраздел «Требования к помещениям, в которых предоставляются государственные услуги» должен включать сведения о размещении</w:t>
      </w:r>
      <w:r>
        <w:rPr/>
        <w:br/>
      </w:r>
      <w:r>
        <w:rPr>
          <w:rFonts w:ascii="Times New Roman" w:hAnsi="Times New Roman"/>
          <w:b w:val="false"/>
          <w:color w:val="000000"/>
          <w:sz w:val="28"/>
        </w:rPr>
        <w:t>на официальном сайте органа, предоставляющего государственную услугу,</w:t>
      </w:r>
      <w:r>
        <w:rPr/>
        <w:br/>
      </w:r>
      <w:r>
        <w:rPr>
          <w:rFonts w:ascii="Times New Roman" w:hAnsi="Times New Roman"/>
          <w:b w:val="false"/>
          <w:color w:val="000000"/>
          <w:sz w:val="28"/>
        </w:rPr>
        <w:t>а также на Едином портале требований, которым должны соответствовать такие помещения, в том числе зал ожидания, места для заполнения запросов</w:t>
      </w:r>
      <w:r>
        <w:rPr/>
        <w:br/>
      </w:r>
      <w:r>
        <w:rPr>
          <w:rFonts w:ascii="Times New Roman" w:hAnsi="Times New Roman"/>
          <w:b w:val="false"/>
          <w:color w:val="000000"/>
          <w:sz w:val="28"/>
        </w:rPr>
        <w:t>о предоставлении государственной услуги, информационные стенды</w:t>
      </w:r>
      <w:r>
        <w:rPr/>
        <w:br/>
      </w:r>
      <w:r>
        <w:rPr>
          <w:rFonts w:ascii="Times New Roman" w:hAnsi="Times New Roman"/>
          <w:b w:val="false"/>
          <w:color w:val="000000"/>
          <w:sz w:val="28"/>
        </w:rPr>
        <w:t>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w:t>
      </w:r>
      <w:r>
        <w:rPr/>
        <w:br/>
      </w:r>
      <w:r>
        <w:rPr>
          <w:rFonts w:ascii="Times New Roman" w:hAnsi="Times New Roman"/>
          <w:b w:val="false"/>
          <w:color w:val="000000"/>
          <w:sz w:val="28"/>
        </w:rPr>
        <w:t>в соответствии с законодательством Российской Федерации о социальной защите инвалидов.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24.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государственную услугу, а также на Едином портале перечня показателей качества и доступности государственной услуги, в том числе о доступности электронных форм документов, необходимых для предоставления государственной услуги, возможности подачи запроса на получение государственной услуги и документов в электронной форме, своевременности предоставления государственной услуги (отсутствии нарушений сроков предоставления государственной услуги), предоставлении государственной услуги в соответствии с вариантом предоставления государственной услуги, доступности инструментов совершения в электронном виде платежей, необходимых для получения государственной услуги, удобстве информирования заявителя о ходе предоставления государственной услуги,</w:t>
      </w:r>
      <w:r>
        <w:rPr/>
        <w:br/>
      </w:r>
      <w:r>
        <w:rPr>
          <w:rFonts w:ascii="Times New Roman" w:hAnsi="Times New Roman"/>
          <w:b w:val="false"/>
          <w:color w:val="000000"/>
          <w:sz w:val="28"/>
        </w:rPr>
        <w:t>а также получения результата предоставления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25. В подраздел «Иные требования к предоставлению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услуг, которые являются необходимыми и обязательными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наличие или отсутствие платы за предоставление указанных в пункте 1</w:t>
      </w:r>
      <w:r>
        <w:rPr>
          <w:rFonts w:ascii="Times New Roman" w:hAnsi="Times New Roman"/>
          <w:b w:val="false"/>
          <w:strike w:val="false"/>
          <w:dstrike w:val="false"/>
          <w:color w:val="000000"/>
          <w:sz w:val="28"/>
        </w:rPr>
        <w:t xml:space="preserve"> </w:t>
      </w:r>
      <w:r>
        <w:rPr>
          <w:rFonts w:ascii="Times New Roman" w:hAnsi="Times New Roman"/>
          <w:b w:val="false"/>
          <w:color w:val="000000"/>
          <w:sz w:val="28"/>
        </w:rPr>
        <w:t>настоящей части услуг;</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перечень информационных систем, используемых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w:t>
      </w:r>
      <w:r>
        <w:rPr/>
        <w:br/>
      </w:r>
      <w:r>
        <w:rPr>
          <w:rFonts w:ascii="Times New Roman" w:hAnsi="Times New Roman"/>
          <w:b w:val="false"/>
          <w:color w:val="000000"/>
          <w:sz w:val="28"/>
        </w:rPr>
        <w:t>в результате предоставления государственной услуги документах и созданных реестровых записях и для выдачи дубликата документа, выданного</w:t>
      </w:r>
      <w:r>
        <w:rPr/>
        <w:br/>
      </w:r>
      <w:r>
        <w:rPr>
          <w:rFonts w:ascii="Times New Roman" w:hAnsi="Times New Roman"/>
          <w:b w:val="false"/>
          <w:color w:val="000000"/>
          <w:sz w:val="28"/>
        </w:rPr>
        <w:t>по результатам предоставления государственной услуги (при необходимости),</w:t>
      </w:r>
      <w:r>
        <w:rPr/>
        <w:br/>
      </w:r>
      <w:r>
        <w:rPr>
          <w:rFonts w:ascii="Times New Roman" w:hAnsi="Times New Roman"/>
          <w:b w:val="false"/>
          <w:color w:val="000000"/>
          <w:sz w:val="28"/>
        </w:rPr>
        <w:t>а также порядок оставления запроса заявителя о предоставлении государственной услуги без рассмотрения (при необходимости);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описание административной процедуры профилирования заявителя;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подразделы, содержащие описание вариантов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28.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w:t>
      </w:r>
      <w:r>
        <w:rPr>
          <w:rFonts w:ascii="Times New Roman" w:hAnsi="Times New Roman"/>
          <w:b w:val="false"/>
          <w:strike w:val="false"/>
          <w:dstrike w:val="false"/>
          <w:color w:val="000000"/>
          <w:sz w:val="28"/>
        </w:rPr>
        <w:t>пунктом 1 части 2</w:t>
      </w:r>
      <w:r>
        <w:rPr>
          <w:rFonts w:ascii="Times New Roman" w:hAnsi="Times New Roman"/>
          <w:b w:val="false"/>
          <w:color w:val="000000"/>
          <w:sz w:val="28"/>
        </w:rPr>
        <w:t>6 настоящего Порядка,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29. В описание административной процедуры приема запроса</w:t>
      </w:r>
      <w:r>
        <w:rPr/>
        <w:br/>
      </w:r>
      <w:r>
        <w:rPr>
          <w:rFonts w:ascii="Times New Roman" w:hAnsi="Times New Roman"/>
          <w:b w:val="false"/>
          <w:color w:val="000000"/>
          <w:sz w:val="28"/>
        </w:rPr>
        <w:t>и документов и (или) информации, необходимых для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состав запроса и перечень документов и (или) информации, необходимых для предоставления государственной услуги в соответствии</w:t>
      </w:r>
      <w:r>
        <w:rPr/>
        <w:br/>
      </w:r>
      <w:r>
        <w:rPr>
          <w:rFonts w:ascii="Times New Roman" w:hAnsi="Times New Roman"/>
          <w:b w:val="false"/>
          <w:color w:val="000000"/>
          <w:sz w:val="28"/>
        </w:rPr>
        <w:t>с вариантом предоставления государственной услуги, а также способы подачи таких запроса и документов и (или) информации;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основания для принятия решения об отказе в приеме запроса</w:t>
      </w:r>
      <w:r>
        <w:rPr/>
        <w:br/>
      </w:r>
      <w:r>
        <w:rPr>
          <w:rFonts w:ascii="Times New Roman" w:hAnsi="Times New Roman"/>
          <w:b w:val="false"/>
          <w:color w:val="000000"/>
          <w:sz w:val="28"/>
        </w:rPr>
        <w:t>и документов и (или) информации, а в случае отсутствия таких оснований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органы (организации), участвующие в приеме запроса</w:t>
        <w:br/>
        <w:t>о предоставлении государственной услуги, в том числе сведения о возможности подачи запроса в многофункциональный центр (при наличии такой возможности);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 возможность (невозможность) приема органом, предоставляющим государственную услугу, или многофункциональным центром запроса</w:t>
        <w:br/>
        <w:t>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30. В описание административной процедуры межведомственного информационного взаимодействия включаются: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органа (организации), в который направляется информационный запрос, срок направления информационного запроса</w:t>
        <w:br/>
        <w:t>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СМЭВ.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31. В описание административной процедуры приостановления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перечень оснований для приостановления предоставления государственной услуги, а в случае отсутствия таких оснований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состав и содержание осуществляемых при приостановлении предоставления государственной услуги административных действий;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перечень оснований для возобновления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срок приостановления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32. В описание административной процедуры принятия решения</w:t>
        <w:br/>
        <w:t>о предоставлении (об отказе в предоставлении)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основания для отказа в предоставлении государственной услуги,</w:t>
        <w:br/>
        <w:t>а в случае их отсутствия – указание на их отсутствие;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33. В описание административной процедуры предоставления результата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способы предоставления результата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предоставления заявителю результата государственной услуги, исчисляемый со дня принятия решения о предоставлении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34. В описание административной процедуры получения дополнительных сведений от заявителя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основания для получения от заявителя дополнительных документов</w:t>
        <w:br/>
        <w:t>и (или) информации в процессе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срок, необходимый для получения таких документов и (или) информации;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перечень органов (организаций), участвующих в административной процедуре, в случае, если они известны (при необходимости).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35.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 оценки),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наименование и продолжительность процедуры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субъекты, проводящие процедуру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объект (объекты) процедуры оценки;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место проведения процедуры оценки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наименование документа, являющегося результатом процедуры оценки (при наличии).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36.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способ распределения ограниченного ресурса;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37.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указание на необходимость предварительной подачи заявителем запроса о предоставлении ему данной государственной услуги в упреждающем (проактивном)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w:t>
        <w:br/>
        <w:t xml:space="preserve">с </w:t>
      </w:r>
      <w:r>
        <w:rPr>
          <w:rFonts w:ascii="Times New Roman" w:hAnsi="Times New Roman"/>
          <w:b w:val="false"/>
          <w:strike w:val="false"/>
          <w:dstrike w:val="false"/>
          <w:color w:val="000000"/>
          <w:sz w:val="28"/>
        </w:rPr>
        <w:t>пунктом 1 части 1 статьи 7</w:t>
      </w:r>
      <w:r>
        <w:rPr>
          <w:rFonts w:ascii="Times New Roman" w:hAnsi="Times New Roman"/>
          <w:b w:val="false"/>
          <w:strike w:val="false"/>
          <w:dstrike w:val="false"/>
          <w:color w:val="000000"/>
          <w:sz w:val="28"/>
          <w:vertAlign w:val="superscript"/>
        </w:rPr>
        <w:t>3</w:t>
      </w:r>
      <w:r>
        <w:rPr>
          <w:rFonts w:ascii="Times New Roman" w:hAnsi="Times New Roman"/>
          <w:b w:val="false"/>
          <w:color w:val="000000"/>
          <w:sz w:val="28"/>
        </w:rPr>
        <w:t xml:space="preserve"> Федерального закона № 210-ФЗ;</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сведения о юридическом факте, поступление которых</w:t>
        <w:br/>
        <w:t>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3) наименование информационной системы, из которой должны поступить сведения, указанные в </w:t>
      </w:r>
      <w:r>
        <w:rPr>
          <w:rFonts w:ascii="Times New Roman" w:hAnsi="Times New Roman"/>
          <w:b w:val="false"/>
          <w:strike w:val="false"/>
          <w:dstrike w:val="false"/>
          <w:color w:val="000000"/>
          <w:sz w:val="28"/>
        </w:rPr>
        <w:t xml:space="preserve">пункте </w:t>
      </w:r>
      <w:r>
        <w:rPr>
          <w:rFonts w:ascii="Times New Roman" w:hAnsi="Times New Roman"/>
          <w:b w:val="false"/>
          <w:color w:val="000000"/>
          <w:sz w:val="28"/>
        </w:rPr>
        <w:t>2 настоящей части, а также информационной системы органа, предоставляющего государственную услугу, в которую должны поступить данные сведения;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4)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w:t>
      </w:r>
      <w:r>
        <w:rPr>
          <w:rFonts w:ascii="Times New Roman" w:hAnsi="Times New Roman"/>
          <w:b w:val="false"/>
          <w:strike w:val="false"/>
          <w:dstrike w:val="false"/>
          <w:color w:val="000000"/>
          <w:sz w:val="28"/>
        </w:rPr>
        <w:t>пункте 2</w:t>
      </w:r>
      <w:r>
        <w:rPr>
          <w:rFonts w:ascii="Times New Roman" w:hAnsi="Times New Roman"/>
          <w:b w:val="false"/>
          <w:color w:val="000000"/>
          <w:sz w:val="28"/>
        </w:rPr>
        <w:t xml:space="preserve"> настоящей части.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38. Раздел «Формы контроля за исполнением административного регламента» состоит из следующих подразделов: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порядок осуществления текущего контроля за соблюдением</w:t>
      </w:r>
      <w:r>
        <w:rPr/>
        <w:br/>
      </w:r>
      <w:r>
        <w:rPr>
          <w:rFonts w:ascii="Times New Roman" w:hAnsi="Times New Roman"/>
          <w:b w:val="false"/>
          <w:color w:val="000000"/>
          <w:sz w:val="28"/>
        </w:rPr>
        <w:t>и исполнением ответственными должностными лицами положений регламента</w:t>
      </w:r>
      <w:r>
        <w:rPr/>
        <w:br/>
      </w:r>
      <w:r>
        <w:rPr>
          <w:rFonts w:ascii="Times New Roman" w:hAnsi="Times New Roman"/>
          <w:b w:val="false"/>
          <w:color w:val="000000"/>
          <w:sz w:val="28"/>
        </w:rPr>
        <w:t>и иных нормативных правовых актов, устанавливающих требования</w:t>
      </w:r>
      <w:r>
        <w:rPr/>
        <w:br/>
      </w:r>
      <w:r>
        <w:rPr>
          <w:rFonts w:ascii="Times New Roman" w:hAnsi="Times New Roman"/>
          <w:b w:val="false"/>
          <w:color w:val="000000"/>
          <w:sz w:val="28"/>
        </w:rPr>
        <w:t>к предоставлению государственной услуги, а также принятием ими решений;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39. Раздел «Досудебный (внесудебный) порядок обжалования решений</w:t>
      </w:r>
      <w:r>
        <w:rPr/>
        <w:br/>
      </w:r>
      <w:r>
        <w:rPr>
          <w:rFonts w:ascii="Times New Roman" w:hAnsi="Times New Roman"/>
          <w:b w:val="false"/>
          <w:color w:val="000000"/>
          <w:sz w:val="28"/>
        </w:rPr>
        <w:t xml:space="preserve">и действий (бездействия) органа, предоставляющего государственную услугу, многофункционального центра, организаций, указанных в </w:t>
      </w:r>
      <w:r>
        <w:rPr>
          <w:rFonts w:ascii="Times New Roman" w:hAnsi="Times New Roman"/>
          <w:b w:val="false"/>
          <w:strike w:val="false"/>
          <w:dstrike w:val="false"/>
          <w:color w:val="000000"/>
          <w:sz w:val="28"/>
        </w:rPr>
        <w:t>части 1</w:t>
      </w:r>
      <w:r>
        <w:rPr>
          <w:rFonts w:ascii="Times New Roman" w:hAnsi="Times New Roman"/>
          <w:b w:val="false"/>
          <w:strike w:val="false"/>
          <w:dstrike w:val="false"/>
          <w:color w:val="000000"/>
          <w:sz w:val="28"/>
          <w:vertAlign w:val="superscript"/>
        </w:rPr>
        <w:t>1</w:t>
      </w:r>
      <w:r>
        <w:rPr>
          <w:rFonts w:ascii="Times New Roman" w:hAnsi="Times New Roman"/>
          <w:b w:val="false"/>
          <w:strike w:val="false"/>
          <w:dstrike w:val="false"/>
          <w:color w:val="000000"/>
          <w:sz w:val="28"/>
        </w:rPr>
        <w:t xml:space="preserve"> статьи 16</w:t>
      </w:r>
      <w:r>
        <w:rPr>
          <w:rFonts w:ascii="Times New Roman" w:hAnsi="Times New Roman"/>
          <w:b w:val="false"/>
          <w:color w:val="000000"/>
          <w:sz w:val="28"/>
        </w:rPr>
        <w:t xml:space="preserve">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0" w:left="0" w:right="0"/>
        <w:jc w:val="center"/>
        <w:rPr>
          <w:rFonts w:ascii="Times New Roman" w:hAnsi="Times New Roman"/>
          <w:b w:val="false"/>
          <w:color w:val="000000"/>
          <w:sz w:val="28"/>
        </w:rPr>
      </w:pPr>
      <w:r>
        <w:rPr>
          <w:rFonts w:ascii="Times New Roman" w:hAnsi="Times New Roman"/>
          <w:b w:val="false"/>
          <w:color w:val="000000"/>
          <w:sz w:val="28"/>
        </w:rPr>
        <w:t>3. Согласование и утверждение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40. При разработке и утверждении проектов административных регламентов применяется п</w:t>
      </w:r>
      <w:r>
        <w:rPr>
          <w:rFonts w:ascii="Times New Roman" w:hAnsi="Times New Roman"/>
          <w:sz w:val="28"/>
        </w:rPr>
        <w:t>орядок подготовки проектов правовых актов Губернатора Камчатского края, Правительства Камчатского края и иных исполнительных органов Камчатского края, утвержденный постановлением Губернатора Камчатского края от 13.04.2022 № 42 (далее – Порядок подготовки проектов правовы</w:t>
      </w:r>
      <w:r>
        <w:rPr>
          <w:rFonts w:ascii="Times New Roman" w:hAnsi="Times New Roman"/>
          <w:b w:val="false"/>
          <w:color w:val="000000"/>
          <w:sz w:val="28"/>
        </w:rPr>
        <w:t>х актов № 42), за исключением особенностей, установленных настоящими Правилами.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41. Проект административного регламента формируется органом, предоставляющим государственные услуги, в порядке, предусмотренном частью</w:t>
      </w:r>
      <w:r>
        <w:rPr>
          <w:rFonts w:ascii="Times New Roman" w:hAnsi="Times New Roman"/>
          <w:b w:val="false"/>
          <w:strike w:val="false"/>
          <w:dstrike w:val="false"/>
          <w:color w:val="000000"/>
          <w:sz w:val="28"/>
        </w:rPr>
        <w:t xml:space="preserve"> 5</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42. Уполномоченный орган по ведению информационного ресурса Реестра обеспечивает доступ для участия в разработке, согласовании</w:t>
        <w:br/>
        <w:t>и утверждении проекта административного регламента :</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органам, предоставляющим государственные услуги;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3) органу, уполномоченному на проведение экспертизы проекта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43.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44.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w:t>
        <w:br/>
        <w:t>на согласование в Реестре.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 xml:space="preserve">45.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сайте </w:t>
      </w:r>
      <w:r>
        <w:rPr>
          <w:rFonts w:ascii="Times New Roman" w:hAnsi="Times New Roman"/>
          <w:sz w:val="28"/>
        </w:rPr>
        <w:t>npaproject.kamgov.ru</w:t>
      </w:r>
      <w:r>
        <w:rPr>
          <w:rFonts w:ascii="Times New Roman" w:hAnsi="Times New Roman"/>
          <w:b w:val="false"/>
          <w:color w:val="000000"/>
          <w:sz w:val="28"/>
        </w:rPr>
        <w:t xml:space="preserve"> в информационно-телекоммуникационной сети «Интернет».</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46.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принятии решения о согласовании проекта административного регламента орган, участвующий в согласовании, проставляет отметку</w:t>
        <w:br/>
        <w:t>о согласовании проекта в листе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и являющийся приложением к листу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47.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pPr>
        <w:pStyle w:val="Normal"/>
        <w:spacing w:lineRule="auto" w:line="240" w:before="0" w:after="0"/>
        <w:ind w:firstLine="709" w:left="0" w:right="0"/>
        <w:jc w:val="both"/>
        <w:rPr>
          <w:b w:val="false"/>
          <w:sz w:val="28"/>
        </w:rPr>
      </w:pPr>
      <w:r>
        <w:rPr>
          <w:rFonts w:ascii="Times New Roman" w:hAnsi="Times New Roman"/>
          <w:b w:val="false"/>
          <w:color w:val="000000"/>
          <w:sz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w:t>
      </w:r>
      <w:r>
        <w:rPr/>
        <w:br/>
      </w:r>
      <w:r>
        <w:rPr>
          <w:rFonts w:ascii="Times New Roman" w:hAnsi="Times New Roman"/>
          <w:b w:val="false"/>
          <w:color w:val="000000"/>
          <w:sz w:val="28"/>
        </w:rPr>
        <w:t>в соответствии с п</w:t>
      </w:r>
      <w:r>
        <w:rPr>
          <w:rFonts w:ascii="Times New Roman" w:hAnsi="Times New Roman"/>
          <w:b w:val="false"/>
          <w:strike w:val="false"/>
          <w:dstrike w:val="false"/>
          <w:color w:val="000000"/>
          <w:sz w:val="28"/>
        </w:rPr>
        <w:t>остановлением</w:t>
      </w:r>
      <w:r>
        <w:rPr>
          <w:rFonts w:ascii="Times New Roman" w:hAnsi="Times New Roman"/>
          <w:b w:val="false"/>
          <w:color w:val="000000"/>
          <w:sz w:val="28"/>
        </w:rPr>
        <w:t xml:space="preserve"> Правительства Камчатского края</w:t>
        <w:br/>
        <w:t>от 21.07.2022 № 386-П «Об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w:t>
        <w:br/>
        <w:t>и их проектов».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5 рабочих дней, вносит с учетом полученных замечаний изменения в сведения о государственной услуге, указанные в пункте 1 части</w:t>
      </w:r>
      <w:r>
        <w:rPr>
          <w:rFonts w:ascii="Times New Roman" w:hAnsi="Times New Roman"/>
          <w:b w:val="false"/>
          <w:strike w:val="false"/>
          <w:dstrike w:val="false"/>
          <w:color w:val="000000"/>
          <w:sz w:val="28"/>
        </w:rPr>
        <w:t xml:space="preserve"> 5</w:t>
      </w:r>
      <w:r>
        <w:rPr>
          <w:rFonts w:ascii="Times New Roman" w:hAnsi="Times New Roman"/>
          <w:b w:val="false"/>
          <w:color w:val="000000"/>
          <w:sz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w:t>
        <w:br/>
        <w:t>в согласовании), и направления такого протокола указанному органу (указанным органам).</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48. В случае согласия с возражениями, представленными органом, предоставляющим государственную услугу, орган, участвующий</w:t>
        <w:br/>
        <w:t>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несогласия с возражениями, представленными органом, предоставляющим государственную услугу, орган, участвующий</w:t>
        <w:br/>
        <w:t>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49. Орган, предоставляющий государственную услугу, после повторного отказа органа, участвующего в согласовании (органов, участвующих</w:t>
        <w:br/>
        <w:t>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50. Разногласия по проекту административного регламента разрешаются в соответствии с Порядком</w:t>
      </w:r>
      <w:r>
        <w:rPr>
          <w:rFonts w:ascii="Times New Roman" w:hAnsi="Times New Roman"/>
          <w:sz w:val="28"/>
        </w:rPr>
        <w:t xml:space="preserve"> подготовки проектов правовы</w:t>
      </w:r>
      <w:r>
        <w:rPr>
          <w:rFonts w:ascii="Times New Roman" w:hAnsi="Times New Roman"/>
          <w:b w:val="false"/>
          <w:color w:val="000000"/>
          <w:sz w:val="28"/>
        </w:rPr>
        <w:t>х актов № 42.</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51. После согласования проекта административного регламента со всеми органами, участвующими в согласовании, или при разрешении разногласий</w:t>
        <w:br/>
        <w:t xml:space="preserve">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w:t>
      </w:r>
      <w:r>
        <w:rPr>
          <w:rFonts w:ascii="Times New Roman" w:hAnsi="Times New Roman"/>
          <w:b w:val="false"/>
          <w:strike w:val="false"/>
          <w:dstrike w:val="false"/>
          <w:color w:val="000000"/>
          <w:sz w:val="28"/>
        </w:rPr>
        <w:t>разделом 4</w:t>
      </w:r>
      <w:r>
        <w:rPr>
          <w:rFonts w:ascii="Times New Roman" w:hAnsi="Times New Roman"/>
          <w:b w:val="false"/>
          <w:color w:val="000000"/>
          <w:sz w:val="28"/>
        </w:rPr>
        <w:t xml:space="preserve">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52. Утверждение административного регламента производится посредством подписания электронного документа в Реестре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53. Утвержденный административный регламент направляется органом, предоставляющим государственную услугу, в Министерство цифрового развития Камчатского края для последующего официального опубликования.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54. При наличии оснований для внесения изменений в административный регламент орган, предоставляющий государственную услугу, разрабатывает</w:t>
        <w:br/>
        <w:t>и утверждает в Реестре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hanging="142" w:left="0" w:right="0"/>
        <w:jc w:val="center"/>
        <w:rPr>
          <w:rFonts w:ascii="Times New Roman" w:hAnsi="Times New Roman"/>
          <w:b w:val="false"/>
          <w:color w:val="000000"/>
          <w:sz w:val="28"/>
        </w:rPr>
      </w:pPr>
      <w:r>
        <w:rPr>
          <w:rFonts w:ascii="Times New Roman" w:hAnsi="Times New Roman"/>
          <w:b w:val="false"/>
          <w:color w:val="000000"/>
          <w:sz w:val="28"/>
        </w:rPr>
        <w:t>4. Экспертиза проектов административных регламентов</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55. Экспертиза проектов административных регламентов (проектов</w:t>
      </w:r>
      <w:r>
        <w:rPr/>
        <w:br/>
      </w:r>
      <w:r>
        <w:rPr>
          <w:rFonts w:ascii="Times New Roman" w:hAnsi="Times New Roman"/>
          <w:b w:val="false"/>
          <w:color w:val="000000"/>
          <w:sz w:val="28"/>
        </w:rPr>
        <w:t>о признании нормативных правовых актов об утверждении административных регламентов утратившими силу) проводится органом, уполномоченным</w:t>
        <w:br/>
        <w:t>на проведение экспертизы проектов административных регламентов</w:t>
      </w:r>
      <w:r>
        <w:rPr/>
        <w:br/>
      </w:r>
      <w:r>
        <w:rPr>
          <w:rFonts w:ascii="Times New Roman" w:hAnsi="Times New Roman"/>
          <w:b w:val="false"/>
          <w:color w:val="000000"/>
          <w:sz w:val="28"/>
        </w:rPr>
        <w:t>(далее – уполномоченный орган), в Реестре.</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56. Уполномоченным органом является Министерство экономического развития Камчатского края.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57. Предметом экспертизы являются: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1) соответствие проектов административных регламентов требованиям частей</w:t>
      </w:r>
      <w:r>
        <w:rPr>
          <w:rFonts w:ascii="Times New Roman" w:hAnsi="Times New Roman"/>
          <w:b w:val="false"/>
          <w:strike w:val="false"/>
          <w:dstrike w:val="false"/>
          <w:color w:val="000000"/>
          <w:sz w:val="28"/>
        </w:rPr>
        <w:t xml:space="preserve"> 3</w:t>
      </w:r>
      <w:r>
        <w:rPr>
          <w:rFonts w:ascii="Times New Roman" w:hAnsi="Times New Roman"/>
          <w:b w:val="false"/>
          <w:color w:val="000000"/>
          <w:sz w:val="28"/>
        </w:rPr>
        <w:t xml:space="preserve"> и 8 настоящего Порядка;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2) отсутствие в проекте требований об обязательном предоставлении заявителями документов и (или) информации, которые могут быть получены</w:t>
      </w:r>
      <w:r>
        <w:rPr/>
        <w:br/>
      </w:r>
      <w:r>
        <w:rPr>
          <w:rFonts w:ascii="Times New Roman" w:hAnsi="Times New Roman"/>
          <w:b w:val="false"/>
          <w:color w:val="000000"/>
          <w:sz w:val="28"/>
        </w:rPr>
        <w:t>в рамках межведомственного запроса.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58. По результатам рассмотрения проекта административного регламента уполномоченный орган в течение 10 рабочих дней принимает решение</w:t>
        <w:br/>
        <w:t>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59.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60.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61. При наличии в заключении уполномоченного органа замечаний</w:t>
      </w:r>
      <w:r>
        <w:rPr/>
        <w:br/>
      </w:r>
      <w:r>
        <w:rPr>
          <w:rFonts w:ascii="Times New Roman" w:hAnsi="Times New Roman"/>
          <w:b w:val="false"/>
          <w:color w:val="000000"/>
          <w:sz w:val="28"/>
        </w:rPr>
        <w:t>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При наличии разногласий орган, предоставляющий государственную услугу, вносит в протокол разногласий возражения на замечания уполномоченного органа.</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Уполномоченный орган рассматривает возражения, представленные органом, предоставляющим государственную услугу, в срок, не превышающий 5 рабочих дней с даты внесения органом, предоставляющим государственную услугу, таких возражений в протокол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В случае несогласия с возражениями, представленными органом, предоставляющим государственную услугу, уполномоченный орган проставляет соответствующую отметку в протоколе разногласий.</w:t>
      </w:r>
    </w:p>
    <w:p>
      <w:pPr>
        <w:pStyle w:val="Normal"/>
        <w:spacing w:lineRule="auto" w:line="240" w:before="0" w:after="0"/>
        <w:ind w:firstLine="709" w:left="0" w:right="0"/>
        <w:jc w:val="both"/>
        <w:rPr>
          <w:rFonts w:ascii="Times New Roman" w:hAnsi="Times New Roman"/>
          <w:b w:val="false"/>
          <w:color w:val="000000"/>
          <w:sz w:val="28"/>
        </w:rPr>
      </w:pPr>
      <w:r>
        <w:rPr>
          <w:rFonts w:ascii="Times New Roman" w:hAnsi="Times New Roman"/>
          <w:b w:val="false"/>
          <w:color w:val="000000"/>
          <w:sz w:val="28"/>
        </w:rPr>
        <w:t>62. Разногласия по проекту административного регламента между органом, предоставляющим государственную услугу, и уполномоченным органом разрешаются в соответствии с Порядком</w:t>
      </w:r>
      <w:r>
        <w:rPr>
          <w:rFonts w:ascii="Times New Roman" w:hAnsi="Times New Roman"/>
          <w:sz w:val="28"/>
        </w:rPr>
        <w:t xml:space="preserve"> подготовки проектов правовы</w:t>
      </w:r>
      <w:r>
        <w:rPr>
          <w:rFonts w:ascii="Times New Roman" w:hAnsi="Times New Roman"/>
          <w:b w:val="false"/>
          <w:color w:val="000000"/>
          <w:sz w:val="28"/>
        </w:rPr>
        <w:t>х актов № 42.</w:t>
      </w:r>
    </w:p>
    <w:sectPr>
      <w:headerReference w:type="default" r:id="rId3"/>
      <w:type w:val="nextPage"/>
      <w:pgSz w:w="11906" w:h="16838"/>
      <w:pgMar w:left="1418" w:right="851" w:gutter="0" w:header="709" w:top="1134"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17</w:t>
    </w:r>
    <w:r>
      <w:rPr>
        <w:sz w:val="28"/>
        <w:szCs w:val="28"/>
        <w:rFonts w:ascii="Times New Roman" w:hAnsi="Times New Roman"/>
      </w:rPr>
      <w:fldChar w:fldCharType="end"/>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PlainText">
    <w:name w:val="Plain Text"/>
    <w:link w:val="PlainText1"/>
    <w:qFormat/>
    <w:rPr>
      <w:rFonts w:ascii="Calibri" w:hAnsi="Calibri"/>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Footer1">
    <w:name w:val="Footer1"/>
    <w:qFormat/>
    <w:rPr>
      <w:rFonts w:ascii="Times New Roman" w:hAnsi="Times New Roman"/>
      <w:sz w:val="28"/>
    </w:rPr>
  </w:style>
  <w:style w:type="character" w:styleId="Heading31">
    <w:name w:val="Heading 31"/>
    <w:qFormat/>
    <w:rPr>
      <w:rFonts w:ascii="XO Thames" w:hAnsi="XO Thames"/>
      <w:b/>
      <w:sz w:val="26"/>
    </w:rPr>
  </w:style>
  <w:style w:type="character" w:styleId="Header1">
    <w:name w:val="Header1"/>
    <w:qFormat/>
    <w:rPr/>
  </w:style>
  <w:style w:type="character" w:styleId="Contents3">
    <w:name w:val="Contents 3"/>
    <w:qFormat/>
    <w:rPr>
      <w:rFonts w:ascii="XO Thames" w:hAnsi="XO Thames"/>
      <w:sz w:val="28"/>
    </w:rPr>
  </w:style>
  <w:style w:type="character" w:styleId="1">
    <w:name w:val="Гиперссылка1"/>
    <w:basedOn w:val="11"/>
    <w:link w:val="111"/>
    <w:qFormat/>
    <w:rPr>
      <w:color w:themeColor="hyperlink" w:val="0563C1"/>
      <w:u w:val="single"/>
    </w:rPr>
  </w:style>
  <w:style w:type="character" w:styleId="11">
    <w:name w:val="Основной шрифт абзаца1"/>
    <w:link w:val="112"/>
    <w:qFormat/>
    <w:rPr/>
  </w:style>
  <w:style w:type="character" w:styleId="Heading51">
    <w:name w:val="Heading 51"/>
    <w:qFormat/>
    <w:rPr>
      <w:rFonts w:ascii="XO Thames" w:hAnsi="XO Thames"/>
      <w:b/>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BalloonText">
    <w:name w:val="Balloon Text"/>
    <w:link w:val="BalloonText1"/>
    <w:qFormat/>
    <w:rPr>
      <w:rFonts w:ascii="Segoe UI" w:hAnsi="Segoe UI"/>
      <w:sz w:val="18"/>
    </w:rPr>
  </w:style>
  <w:style w:type="character" w:styleId="Contents5">
    <w:name w:val="Contents 5"/>
    <w:qFormat/>
    <w:rPr>
      <w:rFonts w:ascii="XO Thames" w:hAnsi="XO Thames"/>
      <w:sz w:val="28"/>
    </w:rPr>
  </w:style>
  <w:style w:type="character" w:styleId="DefaultParagraphFont">
    <w:name w:val="Default Paragraph Font"/>
    <w:link w:val="DefaultParagraphFont1"/>
    <w:qFormat/>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12">
    <w:name w:val="Обычный1"/>
    <w:link w:val="113"/>
    <w:qFormat/>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Указатель"/>
    <w:basedOn w:val="Normal"/>
    <w:qFormat/>
    <w:pPr>
      <w:suppressLineNumbers/>
    </w:pPr>
    <w:rPr>
      <w:rFonts w:cs="Lohit Devanagari"/>
    </w:rPr>
  </w:style>
  <w:style w:type="paragraph" w:styleId="PlainText1">
    <w:name w:val="Plain Text1"/>
    <w:basedOn w:val="Normal"/>
    <w:link w:val="PlainText"/>
    <w:qFormat/>
    <w:pPr>
      <w:spacing w:lineRule="auto" w:line="240" w:before="0" w:after="0"/>
    </w:pPr>
    <w:rPr>
      <w:rFonts w:ascii="Calibri" w:hAnsi="Calibri"/>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Style11">
    <w:name w:val="Колонтитул"/>
    <w:qFormat/>
    <w:pPr>
      <w:widowControl/>
      <w:suppressAutoHyphens w:val="true"/>
      <w:bidi w:val="0"/>
      <w:spacing w:lineRule="auto" w:line="240" w:before="0" w:after="160"/>
      <w:ind w:hanging="0" w:left="0" w:right="0"/>
      <w:jc w:val="both"/>
    </w:pPr>
    <w:rPr>
      <w:rFonts w:ascii="XO Thames" w:hAnsi="XO Thames" w:eastAsia="Tahoma" w:cs="Lohit Devanagari"/>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111">
    <w:name w:val="Гиперссылка11"/>
    <w:basedOn w:val="112"/>
    <w:link w:val="1"/>
    <w:qFormat/>
    <w:pPr/>
    <w:rPr>
      <w:color w:themeColor="hyperlink" w:val="0563C1"/>
      <w:u w:val="single"/>
    </w:rPr>
  </w:style>
  <w:style w:type="paragraph" w:styleId="112">
    <w:name w:val="Основной шрифт абзаца11"/>
    <w:link w:val="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Internetlink">
    <w:name w:val="Internet link"/>
    <w:qFormat/>
    <w:pPr>
      <w:widowControl/>
      <w:suppressAutoHyphens w:val="true"/>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1">
    <w:name w:val="Footnote1"/>
    <w:link w:val="Footnote"/>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113">
    <w:name w:val="Обычный11"/>
    <w:link w:val="12"/>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Style12">
    <w:name w:val="Содержимое врезки"/>
    <w:basedOn w:val="Normal"/>
    <w:qFormat/>
    <w:pPr/>
    <w:rPr/>
  </w:style>
  <w:style w:type="table" w:styleId="Style_2">
    <w:name w:val="Table Grid"/>
    <w:basedOn w:val="Style_1"/>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1">
    <w:name w:val="Normal Table"/>
    <w:tblPr>
      <w:tblCellMar>
        <w:top w:w="0" w:type="dxa"/>
        <w:left w:w="108" w:type="dxa"/>
        <w:bottom w:w="0" w:type="dxa"/>
        <w:right w:w="108" w:type="dxa"/>
      </w:tblCellMar>
    </w:tblPr>
  </w:style>
  <w:style w:type="table" w:styleId="Style_31">
    <w:name w:val="Сетка таблицы2"/>
    <w:basedOn w:val="Style_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2">
    <w:name w:val="Сетка таблицы1"/>
    <w:basedOn w:val="Style_1"/>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LibreOffice/7.6.7.2$Linux_X86_64 LibreOffice_project/60$Build-2</Application>
  <AppVersion>15.0000</AppVersion>
  <Pages>17</Pages>
  <Words>4425</Words>
  <Characters>35734</Characters>
  <CharactersWithSpaces>39983</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2024-07-10T16:36:16Z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