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таблицу 2 приложения 2 к постановлению Правительства Камчатского края от 08.09.2014 № 376-П «Об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</w:t>
      </w:r>
      <w:r>
        <w:rPr>
          <w:rFonts w:ascii="Times New Roman" w:hAnsi="Times New Roman"/>
          <w:b w:val="1"/>
          <w:sz w:val="28"/>
        </w:rPr>
        <w:t xml:space="preserve">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</w:t>
      </w:r>
      <w:r>
        <w:rPr>
          <w:rFonts w:ascii="Times New Roman" w:hAnsi="Times New Roman"/>
          <w:b w:val="1"/>
          <w:sz w:val="28"/>
        </w:rPr>
        <w:t>в Камчатском крае»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Внесении в таблицу 2 приложения 2 к</w:t>
      </w:r>
      <w:r>
        <w:rPr>
          <w:rFonts w:ascii="Times New Roman" w:hAnsi="Times New Roman"/>
          <w:sz w:val="28"/>
        </w:rPr>
        <w:t xml:space="preserve"> постановлению Правительства Камчатского края от 08.09.2014 № 376-П «Об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</w:t>
      </w:r>
      <w:r>
        <w:rPr>
          <w:rFonts w:ascii="Times New Roman" w:hAnsi="Times New Roman"/>
          <w:sz w:val="28"/>
        </w:rPr>
        <w:t>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 следующие изменения:</w:t>
      </w:r>
    </w:p>
    <w:p w14:paraId="1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«Таблица 2</w:t>
      </w:r>
    </w:p>
    <w:tbl>
      <w:tblPr>
        <w:tblStyle w:val="Style_2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600"/>
        <w:gridCol w:w="1417"/>
        <w:gridCol w:w="1020"/>
        <w:gridCol w:w="1020"/>
        <w:gridCol w:w="1020"/>
        <w:gridCol w:w="1020"/>
      </w:tblGrid>
      <w:tr>
        <w:trPr>
          <w:trHeight w:hRule="atLeast" w:val="356"/>
        </w:trPr>
        <w:tc>
          <w:tcPr>
            <w:tcW w:type="dxa" w:w="56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360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одежды, обуви и мягкого инвентаря</w:t>
            </w:r>
          </w:p>
        </w:tc>
        <w:tc>
          <w:tcPr>
            <w:tcW w:type="dxa" w:w="54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</w:t>
            </w:r>
          </w:p>
        </w:tc>
      </w:tr>
      <w:tr>
        <w:trPr>
          <w:trHeight w:hRule="atLeast" w:val="645"/>
        </w:trPr>
        <w:tc>
          <w:tcPr>
            <w:tcW w:type="dxa" w:w="5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 одного ребенка)</w:t>
            </w:r>
          </w:p>
        </w:tc>
        <w:tc>
          <w:tcPr>
            <w:tcW w:type="dxa" w:w="20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3-х до 7-ми лет</w:t>
            </w:r>
          </w:p>
        </w:tc>
        <w:tc>
          <w:tcPr>
            <w:tcW w:type="dxa" w:w="20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7-ми лет и старше</w:t>
            </w:r>
          </w:p>
        </w:tc>
      </w:tr>
      <w:tr>
        <w:trPr>
          <w:trHeight w:hRule="atLeast" w:val="843"/>
        </w:trPr>
        <w:tc>
          <w:tcPr>
            <w:tcW w:type="dxa" w:w="56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60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носки,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службы</w:t>
            </w: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(лет)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носки,</w:t>
            </w:r>
          </w:p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службы</w:t>
            </w: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(лет)</w:t>
            </w:r>
          </w:p>
        </w:tc>
      </w:tr>
    </w:tbl>
    <w:p w14:paraId="2A000000">
      <w:pPr>
        <w:spacing w:after="0"/>
        <w:ind/>
        <w:rPr>
          <w:sz w:val="2"/>
        </w:rPr>
      </w:pPr>
    </w:p>
    <w:p w14:paraId="2B000000">
      <w:pPr>
        <w:widowControl w:val="0"/>
        <w:spacing w:after="0"/>
        <w:ind w:firstLine="0" w:left="0"/>
        <w:jc w:val="both"/>
        <w:rPr>
          <w:rFonts w:ascii="Times New Roman" w:hAnsi="Times New Roman"/>
          <w:sz w:val="2"/>
        </w:rPr>
      </w:pPr>
    </w:p>
    <w:tbl>
      <w:tblPr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8"/>
        <w:gridCol w:w="3630"/>
        <w:gridCol w:w="1380"/>
        <w:gridCol w:w="1008"/>
        <w:gridCol w:w="1008"/>
        <w:gridCol w:w="1008"/>
        <w:gridCol w:w="1010"/>
      </w:tblGrid>
      <w:tr>
        <w:tc>
          <w:tcPr>
            <w:tcW w:type="dxa" w:w="5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Пальто (куртка) зимнее, шуба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Пальто демисезонное, куртка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Форменная одежда (в том числе костюм)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Рубашка школьная белая хлопчатобумажная для мальчика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Костюмы летний и шерстяной (полушерстяной)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Платье (юбка, блузка, рубашка для девочки)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Халат домашний для девочки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Рубашка для мальчика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Галстук для мальчика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шерстяной (праздничный) для мальчика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летний (праздничный) для мальчика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Брюки (джинсы)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Свитер (джемпер) шерстяной, водолазка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Платье шерстяное (праздничное)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Платье летнее (праздничное)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Рейтузы для девочки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Головной убор летний (бейсболка, кепка, косынка, панама, шляпа)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Головной убор зимний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Платок носовой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Ремень брючный для мальчика (подтяжки)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Шарф полушерстяной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Перчатки (варежки)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Бюстгальтер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Трусы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Трико для девочки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Трусы спортивные, бриджи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Шорты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Носки хлопчатобумажные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лыжный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Шапка спортивная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Сорочка ночная, пижама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Колготки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Передник, нагрудник для дошкольников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Купальник, плавки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Шапочка резиновая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одежда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и обувь спортивные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Ботинки (туфли, сандалии, кроссовки)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Тапочки домашние, шлепанцы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Обувь зимняя (утепленная обувь)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Обувь (осенняя)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Сапоги резиновые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 личной гигиены для девочек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Мыло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Мочалка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Шампунь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Расческа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Бритвенный станок (одноразовый)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Зубная щетка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Зубная паста (порошок)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Портфель, сумка, рюкзак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Чемодан, дорожная сумка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Простыня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Пододеяльник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Наволочка для подушки нижняя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Наволочка для подушки верхняя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Полотенце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Полотенце махровое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Одеяло шерстяное или ватное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Одеяло байковое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Покрывало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Коврик прикроватный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Матрац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75.</w:t>
            </w:r>
          </w:p>
        </w:tc>
        <w:tc>
          <w:tcPr>
            <w:tcW w:type="dxa" w:w="3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widowControl w:val="0"/>
              <w:ind w:firstLine="0" w:left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Подушка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widowControl w:val="0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FA01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F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F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605"/>
        <w:gridCol w:w="3571"/>
        <w:gridCol w:w="2497"/>
      </w:tblGrid>
      <w:tr>
        <w:trPr>
          <w:trHeight w:hRule="atLeast" w:val="271"/>
        </w:trPr>
        <w:tc>
          <w:tcPr>
            <w:tcW w:type="dxa" w:w="3605"/>
            <w:shd w:fill="auto" w:val="clear"/>
            <w:tcMar>
              <w:left w:type="dxa" w:w="0"/>
              <w:right w:type="dxa" w:w="0"/>
            </w:tcMar>
          </w:tcPr>
          <w:p w14:paraId="FF01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0002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1"/>
            <w:shd w:fill="auto" w:val="clear"/>
            <w:tcMar>
              <w:left w:type="dxa" w:w="0"/>
              <w:right w:type="dxa" w:w="0"/>
            </w:tcMar>
          </w:tcPr>
          <w:p w14:paraId="0102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0202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7"/>
            <w:shd w:fill="auto" w:val="clear"/>
            <w:tcMar>
              <w:left w:type="dxa" w:w="0"/>
              <w:right w:type="dxa" w:w="0"/>
            </w:tcMar>
          </w:tcPr>
          <w:p w14:paraId="0302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0402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05020000"/>
    <w:sectPr>
      <w:headerReference r:id="rId3" w:type="default"/>
      <w:headerReference r:id="rId1" w:type="first"/>
      <w:footerReference r:id="rId2" w:type="firs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lain Text"/>
    <w:basedOn w:val="Style_3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3_ch"/>
    <w:link w:val="Style_6"/>
    <w:rPr>
      <w:rFonts w:ascii="Calibri" w:hAnsi="Calibri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1"/>
    <w:basedOn w:val="Style_9"/>
    <w:link w:val="Style_8_ch"/>
    <w:rPr>
      <w:color w:themeColor="hyperlink" w:val="0563C1"/>
      <w:u w:val="single"/>
    </w:rPr>
  </w:style>
  <w:style w:styleId="Style_8_ch" w:type="character">
    <w:name w:val="Гиперссылка1"/>
    <w:basedOn w:val="Style_9_ch"/>
    <w:link w:val="Style_8"/>
    <w:rPr>
      <w:color w:themeColor="hyperlink" w:val="0563C1"/>
      <w:u w:val="single"/>
    </w:rPr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</w:rPr>
  </w:style>
  <w:style w:styleId="Style_12_ch" w:type="character">
    <w:name w:val="Endnote"/>
    <w:link w:val="Style_12"/>
    <w:rPr>
      <w:rFonts w:ascii="XO Thames" w:hAnsi="XO Thames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3_ch"/>
    <w:link w:val="Style_17"/>
    <w:rPr>
      <w:rFonts w:ascii="Times New Roman" w:hAnsi="Times New Roman"/>
      <w:sz w:val="28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1"/>
    <w:next w:val="Style_3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8" w:type="paragraph">
    <w:name w:val="toc 9"/>
    <w:next w:val="Style_3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29" w:type="paragraph">
    <w:name w:val="toc 8"/>
    <w:next w:val="Style_3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Balloon Text"/>
    <w:basedOn w:val="Style_3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3_ch"/>
    <w:link w:val="Style_31"/>
    <w:rPr>
      <w:rFonts w:ascii="Segoe UI" w:hAnsi="Segoe UI"/>
      <w:sz w:val="18"/>
    </w:rPr>
  </w:style>
  <w:style w:styleId="Style_32" w:type="paragraph">
    <w:name w:val="toc 5"/>
    <w:next w:val="Style_3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2024-07-05T02:07:27Z</dcterms:modified>
</cp:coreProperties>
</file>