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2022 - 2023 годы</w:t>
            </w:r>
            <w:r/>
            <w:r>
              <w:rPr>
                <w:rFonts w:ascii="Times New Roman" w:hAnsi="Times New Roman"/>
                <w:b/>
                <w:sz w:val="28"/>
              </w:rPr>
            </w:r>
            <w:r/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заявления Дадоновой Евгении Ивановны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04.03.2024 г. № 60/568,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актов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объектов недвижимо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 имущества от 08.04.2024 № 581, от 08.04.2024 № 582,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30.05.2024 № 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20.12.2021 № П-26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2022 год» изменение, признав пункты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346, 347 утратившими силу.</w:t>
      </w:r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пункты </w:t>
      </w:r>
      <w:r>
        <w:rPr>
          <w:rFonts w:ascii="Times New Roman" w:hAnsi="Times New Roman" w:cs="Times New Roman"/>
          <w:bCs/>
          <w:sz w:val="28"/>
          <w:szCs w:val="28"/>
        </w:rPr>
        <w:t xml:space="preserve">662, 663 утратившими силу.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20 декабря 2021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/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24</cp:revision>
  <dcterms:created xsi:type="dcterms:W3CDTF">2023-06-01T02:47:00Z</dcterms:created>
  <dcterms:modified xsi:type="dcterms:W3CDTF">2024-07-03T03:41:49Z</dcterms:modified>
</cp:coreProperties>
</file>