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C91" w:rsidRDefault="009375F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904C91" w:rsidRDefault="009375F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постановления Губернатора Камчатского края</w:t>
      </w:r>
    </w:p>
    <w:p w:rsidR="00904C91" w:rsidRDefault="009375F3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 утверждении лимитов добычи охотничьих ресурсов и квот добычи охотничьих ресурсов, за исключением таких лимитов и квот в отношении охотничьих ресурсов, находящихся на особо охраняемых природных территориях федерального значения, для Камчатского </w:t>
      </w:r>
      <w:r w:rsidR="00604185">
        <w:rPr>
          <w:rFonts w:ascii="Times New Roman" w:hAnsi="Times New Roman"/>
          <w:sz w:val="28"/>
        </w:rPr>
        <w:t>края на период с 01 августа 2024 года до 01 августа 2025</w:t>
      </w:r>
      <w:r>
        <w:rPr>
          <w:rFonts w:ascii="Times New Roman" w:hAnsi="Times New Roman"/>
          <w:sz w:val="28"/>
        </w:rPr>
        <w:t xml:space="preserve"> года»</w:t>
      </w:r>
    </w:p>
    <w:p w:rsidR="00904C91" w:rsidRDefault="00904C91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904C91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постановления разработан Министерством </w:t>
      </w:r>
      <w:r w:rsidR="00604185">
        <w:rPr>
          <w:rFonts w:ascii="Times New Roman" w:hAnsi="Times New Roman"/>
          <w:sz w:val="28"/>
        </w:rPr>
        <w:t>лесного и охотничьего хозяйства</w:t>
      </w:r>
      <w:r>
        <w:rPr>
          <w:rFonts w:ascii="Times New Roman" w:hAnsi="Times New Roman"/>
          <w:sz w:val="28"/>
        </w:rPr>
        <w:t xml:space="preserve"> Камчатского края (далее – Министерство) в соответствии со статьей 6 Федерального закона от 24.04.1995 № 52-ФЗ «О животном мире», статьями 24 и 33 Федерального закона от 24.07.2009 № 209-ФЗ «Об охоте и              о сохранении охотничьих ресурсов и о внесении изменений в отдельные законодательные акты Российской Федерации», на основании приказов Министерства природных ресурсов и экологии Российской Федерации от 25.11.2020 № 965 «Об утверждении нормативов допустимого изъятия охотничьих ресурсов и нормативов численности охотничьих ресурсов в охотничьих угодьях» и от 27.11.2020 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составу», постановления Правительства Камчатского к</w:t>
      </w:r>
      <w:r w:rsidR="00604185">
        <w:rPr>
          <w:rFonts w:ascii="Times New Roman" w:hAnsi="Times New Roman"/>
          <w:sz w:val="28"/>
        </w:rPr>
        <w:t>рая от 14.05.2024 № 223</w:t>
      </w:r>
      <w:r>
        <w:rPr>
          <w:rFonts w:ascii="Times New Roman" w:hAnsi="Times New Roman"/>
          <w:sz w:val="28"/>
        </w:rPr>
        <w:t xml:space="preserve">-П «Об утверждении Положения о Министерстве </w:t>
      </w:r>
      <w:r w:rsidR="00604185">
        <w:rPr>
          <w:rFonts w:ascii="Times New Roman" w:hAnsi="Times New Roman"/>
          <w:sz w:val="28"/>
        </w:rPr>
        <w:t>лесного и охотничьего хозяйства</w:t>
      </w:r>
      <w:r>
        <w:rPr>
          <w:rFonts w:ascii="Times New Roman" w:hAnsi="Times New Roman"/>
          <w:sz w:val="28"/>
        </w:rPr>
        <w:t xml:space="preserve"> Камчатского края», а также с учетом правоприменительной практики. Так, квоты добычи по каждому закрепленному охотничьему угодью установлены на основании поступ</w:t>
      </w:r>
      <w:r w:rsidR="00F613B4">
        <w:rPr>
          <w:rFonts w:ascii="Times New Roman" w:hAnsi="Times New Roman"/>
          <w:sz w:val="28"/>
        </w:rPr>
        <w:t>ивших в Министерство 224</w:t>
      </w:r>
      <w:r>
        <w:rPr>
          <w:rFonts w:ascii="Times New Roman" w:hAnsi="Times New Roman"/>
          <w:sz w:val="28"/>
        </w:rPr>
        <w:t xml:space="preserve"> заявок </w:t>
      </w:r>
      <w:proofErr w:type="spellStart"/>
      <w:r>
        <w:rPr>
          <w:rFonts w:ascii="Times New Roman" w:hAnsi="Times New Roman"/>
          <w:sz w:val="28"/>
        </w:rPr>
        <w:t>охотпользователей</w:t>
      </w:r>
      <w:proofErr w:type="spellEnd"/>
      <w:r w:rsidR="00F613B4">
        <w:rPr>
          <w:rFonts w:ascii="Times New Roman" w:hAnsi="Times New Roman"/>
          <w:sz w:val="28"/>
        </w:rPr>
        <w:t xml:space="preserve"> и </w:t>
      </w:r>
      <w:r w:rsidR="00B5627D">
        <w:rPr>
          <w:rFonts w:ascii="Times New Roman" w:hAnsi="Times New Roman"/>
          <w:sz w:val="28"/>
        </w:rPr>
        <w:br/>
      </w:r>
      <w:r w:rsidR="00F613B4">
        <w:rPr>
          <w:rFonts w:ascii="Times New Roman" w:hAnsi="Times New Roman"/>
          <w:sz w:val="28"/>
        </w:rPr>
        <w:t>1 заявки научно-исследовательского учреждения</w:t>
      </w:r>
      <w:r>
        <w:rPr>
          <w:rFonts w:ascii="Times New Roman" w:hAnsi="Times New Roman"/>
          <w:sz w:val="28"/>
        </w:rPr>
        <w:t xml:space="preserve">. В случае непредставления </w:t>
      </w:r>
      <w:r w:rsidR="000315DC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установленному сроку заявки квоты добычи не устанавливались. </w:t>
      </w:r>
    </w:p>
    <w:p w:rsidR="00904C91" w:rsidRDefault="009375F3" w:rsidP="00947BA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1 к проекту постановлению содержит устанавливаемые лимиты по шести видам охотничьих ресурсов, которые являются суммой квот по каждому охотничьему угодью. Приложение 2 представляет собой квоты добычи по каждому охотничьему угодью. При этом численность указана по данным государственного мониторинга охотничьих ресурсов (таблица 1 федеральной формы государственного мониторинга охотничьих ресурсов, утвержденной приказом Минприроды России от 27.07.2021 № 512). В отношении лося, рыси и соболя численность определялась в соответствии с Методикой учета численности охотничьих ресурсов методом зимнего маршрутного учета, утвержденной приказом ФГБУ «Федеральный </w:t>
      </w:r>
      <w:r w:rsidR="00714194">
        <w:rPr>
          <w:rFonts w:ascii="Times New Roman" w:hAnsi="Times New Roman"/>
          <w:sz w:val="28"/>
        </w:rPr>
        <w:t xml:space="preserve">научно-исследовательский </w:t>
      </w:r>
      <w:r>
        <w:rPr>
          <w:rFonts w:ascii="Times New Roman" w:hAnsi="Times New Roman"/>
          <w:sz w:val="28"/>
        </w:rPr>
        <w:t>центр разви</w:t>
      </w:r>
      <w:r w:rsidR="00AA7225">
        <w:rPr>
          <w:rFonts w:ascii="Times New Roman" w:hAnsi="Times New Roman"/>
          <w:sz w:val="28"/>
        </w:rPr>
        <w:t>тия охотничьего хозяйства» от 22.11.2023 № 49</w:t>
      </w:r>
      <w:r>
        <w:rPr>
          <w:rFonts w:ascii="Times New Roman" w:hAnsi="Times New Roman"/>
          <w:sz w:val="28"/>
        </w:rPr>
        <w:t>, и размещенной на сайте Минприроды России в р</w:t>
      </w:r>
      <w:r w:rsidR="00947BAF">
        <w:rPr>
          <w:rFonts w:ascii="Times New Roman" w:hAnsi="Times New Roman"/>
          <w:sz w:val="28"/>
        </w:rPr>
        <w:t xml:space="preserve">азделе «Методические документы» </w:t>
      </w:r>
      <w:r>
        <w:rPr>
          <w:rFonts w:ascii="Times New Roman" w:hAnsi="Times New Roman"/>
          <w:sz w:val="28"/>
        </w:rPr>
        <w:t>(</w:t>
      </w:r>
      <w:r w:rsidR="00B5627D" w:rsidRPr="00B5627D">
        <w:rPr>
          <w:rFonts w:ascii="Times New Roman" w:hAnsi="Times New Roman"/>
          <w:sz w:val="28"/>
        </w:rPr>
        <w:t>https://www.mnr.gov.ru/docs/metodicheskie_dokumenty/metodika_ucheta_chislennosti_okhotnichikh_resursov_metodom_zimnego_marshrutnogo_ucheta_2023/</w:t>
      </w:r>
      <w:r>
        <w:rPr>
          <w:rFonts w:ascii="Times New Roman" w:hAnsi="Times New Roman"/>
          <w:sz w:val="28"/>
        </w:rPr>
        <w:t>)</w:t>
      </w:r>
      <w:r w:rsidR="00947BAF">
        <w:rPr>
          <w:rFonts w:ascii="Times New Roman" w:hAnsi="Times New Roman"/>
          <w:sz w:val="28"/>
        </w:rPr>
        <w:t>.</w:t>
      </w:r>
    </w:p>
    <w:p w:rsidR="00904C91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Численность снежного барана, бурого медведя и выдры определялась на основании имеющихся научных подходов (предусмотрено п.</w:t>
      </w:r>
      <w:r w:rsidR="00BE645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</w:t>
      </w:r>
      <w:r w:rsidR="00F45A30">
        <w:rPr>
          <w:rFonts w:ascii="Times New Roman" w:hAnsi="Times New Roman"/>
          <w:sz w:val="28"/>
        </w:rPr>
        <w:t xml:space="preserve"> приказа</w:t>
      </w:r>
      <w:r>
        <w:rPr>
          <w:rFonts w:ascii="Times New Roman" w:hAnsi="Times New Roman"/>
          <w:sz w:val="28"/>
        </w:rPr>
        <w:t xml:space="preserve"> </w:t>
      </w:r>
      <w:r w:rsidR="00BE6454" w:rsidRPr="00BE6454">
        <w:rPr>
          <w:rFonts w:ascii="Times New Roman" w:hAnsi="Times New Roman"/>
          <w:sz w:val="28"/>
        </w:rPr>
        <w:t>Минприро</w:t>
      </w:r>
      <w:r w:rsidR="00BE6454">
        <w:rPr>
          <w:rFonts w:ascii="Times New Roman" w:hAnsi="Times New Roman"/>
          <w:sz w:val="28"/>
        </w:rPr>
        <w:t>ды России от 27.07.2021 № 512)</w:t>
      </w:r>
      <w:r>
        <w:rPr>
          <w:rFonts w:ascii="Times New Roman" w:hAnsi="Times New Roman"/>
          <w:sz w:val="28"/>
        </w:rPr>
        <w:t xml:space="preserve">, </w:t>
      </w:r>
      <w:r w:rsidRPr="004277CC">
        <w:rPr>
          <w:rFonts w:ascii="Times New Roman" w:hAnsi="Times New Roman"/>
          <w:sz w:val="28"/>
        </w:rPr>
        <w:t>рекомендованных Камчатским филиалом ТИГ ДВО РАН.</w:t>
      </w:r>
      <w:r>
        <w:rPr>
          <w:rFonts w:ascii="Times New Roman" w:hAnsi="Times New Roman"/>
          <w:sz w:val="28"/>
        </w:rPr>
        <w:t xml:space="preserve"> В частности, по снежному барану – на основании показателей численности, полученных по результатам полномасштабных авиаучетов снежного барана в 2015-2016 и 2019-2020 годах.</w:t>
      </w:r>
    </w:p>
    <w:p w:rsidR="00904C91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 расчете квот добычи применялись нормативы, указанные в приложении 1 к приказу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</w:t>
      </w:r>
      <w:r w:rsidR="00380992">
        <w:rPr>
          <w:rFonts w:ascii="Times New Roman" w:hAnsi="Times New Roman"/>
          <w:sz w:val="28"/>
        </w:rPr>
        <w:t>Федерации от 25 ноября 2020 г. №</w:t>
      </w:r>
      <w:r>
        <w:rPr>
          <w:rFonts w:ascii="Times New Roman" w:hAnsi="Times New Roman"/>
          <w:sz w:val="28"/>
        </w:rPr>
        <w:t xml:space="preserve"> 965», в частности: квота по л</w:t>
      </w:r>
      <w:r w:rsidR="00380992">
        <w:rPr>
          <w:rFonts w:ascii="Times New Roman" w:hAnsi="Times New Roman"/>
          <w:sz w:val="28"/>
        </w:rPr>
        <w:t xml:space="preserve">осю = численность по данным </w:t>
      </w:r>
      <w:proofErr w:type="spellStart"/>
      <w:r w:rsidR="00380992">
        <w:rPr>
          <w:rFonts w:ascii="Times New Roman" w:hAnsi="Times New Roman"/>
          <w:sz w:val="28"/>
        </w:rPr>
        <w:t>гос</w:t>
      </w:r>
      <w:r>
        <w:rPr>
          <w:rFonts w:ascii="Times New Roman" w:hAnsi="Times New Roman"/>
          <w:sz w:val="28"/>
        </w:rPr>
        <w:t>мониторинга</w:t>
      </w:r>
      <w:proofErr w:type="spellEnd"/>
      <w:r>
        <w:rPr>
          <w:rFonts w:ascii="Times New Roman" w:hAnsi="Times New Roman"/>
          <w:sz w:val="28"/>
        </w:rPr>
        <w:t xml:space="preserve"> Х 5%,7% в зависимости от плотности; квота по снежному бар</w:t>
      </w:r>
      <w:r w:rsidR="00380992">
        <w:rPr>
          <w:rFonts w:ascii="Times New Roman" w:hAnsi="Times New Roman"/>
          <w:sz w:val="28"/>
        </w:rPr>
        <w:t xml:space="preserve">ану = численность по данным </w:t>
      </w:r>
      <w:proofErr w:type="spellStart"/>
      <w:r w:rsidR="00380992">
        <w:rPr>
          <w:rFonts w:ascii="Times New Roman" w:hAnsi="Times New Roman"/>
          <w:sz w:val="28"/>
        </w:rPr>
        <w:t>гос</w:t>
      </w:r>
      <w:r>
        <w:rPr>
          <w:rFonts w:ascii="Times New Roman" w:hAnsi="Times New Roman"/>
          <w:sz w:val="28"/>
        </w:rPr>
        <w:t>мониторинга</w:t>
      </w:r>
      <w:proofErr w:type="spellEnd"/>
      <w:r>
        <w:rPr>
          <w:rFonts w:ascii="Times New Roman" w:hAnsi="Times New Roman"/>
          <w:sz w:val="28"/>
        </w:rPr>
        <w:t xml:space="preserve"> Х 5%, и так далее. При этом в закрепленных охотничьих угодьях </w:t>
      </w:r>
      <w:proofErr w:type="spellStart"/>
      <w:r>
        <w:rPr>
          <w:rFonts w:ascii="Times New Roman" w:hAnsi="Times New Roman"/>
          <w:sz w:val="28"/>
        </w:rPr>
        <w:t>охотпользователи</w:t>
      </w:r>
      <w:proofErr w:type="spellEnd"/>
      <w:r>
        <w:rPr>
          <w:rFonts w:ascii="Times New Roman" w:hAnsi="Times New Roman"/>
          <w:sz w:val="28"/>
        </w:rPr>
        <w:t xml:space="preserve"> самостоятельно определяют объемы изъятия лосей в возрасте до одного года, а также взрослых особей (самцов во время гона, без подразделения по половому признаку) в пределах общей установленной квоты добычи каждого вида охотничьих ресурсов в соответствии с утвержденными нормативами допустимого изъятия охотничьих ресурсов и нормативами численности охотничьих ресурсов в охотничьих угодьях после утверждения Губернатором Камчатского края лимита добычи охотничьих ресурсов и могут перераспределять их в течение срока охоты на каждый вид охотничьих ресурсов в соответствии с утвержденными нормативами допустимого изъятия охотничьих ресурсов в пределах срока действия утвержденного лимита добычи охотничьих ресурсов.</w:t>
      </w:r>
    </w:p>
    <w:p w:rsidR="00904C91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определение квот и лимитов изъятия производилось на основании заявок </w:t>
      </w:r>
      <w:proofErr w:type="spellStart"/>
      <w:r>
        <w:rPr>
          <w:rFonts w:ascii="Times New Roman" w:hAnsi="Times New Roman"/>
          <w:sz w:val="28"/>
        </w:rPr>
        <w:t>охотпользователей</w:t>
      </w:r>
      <w:proofErr w:type="spellEnd"/>
      <w:r>
        <w:rPr>
          <w:rFonts w:ascii="Times New Roman" w:hAnsi="Times New Roman"/>
          <w:sz w:val="28"/>
        </w:rPr>
        <w:t xml:space="preserve"> на установление квот добычи охотничьих ресурсов. При отсутствии заявки квоты добычи не устанавливались. Кроме того, при отсутствии данных об итоговой численности охотничьих ресурсов (не проведении учета численности охотничьих ресурсов, а равно </w:t>
      </w:r>
      <w:r w:rsidR="00667E66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667E66">
        <w:rPr>
          <w:rFonts w:ascii="Times New Roman" w:hAnsi="Times New Roman"/>
          <w:sz w:val="28"/>
        </w:rPr>
        <w:t>непредоставлении</w:t>
      </w:r>
      <w:proofErr w:type="spellEnd"/>
      <w:r>
        <w:rPr>
          <w:rFonts w:ascii="Times New Roman" w:hAnsi="Times New Roman"/>
          <w:sz w:val="28"/>
        </w:rPr>
        <w:t xml:space="preserve"> материалов учета, либо их предоставление с нарушением установленного порядка) максимально возможная квота добычи для закрепленных охотничьих угодий Министерством не рассчитывалась, соответственно основания для установления квоты добычи отсутствовали.</w:t>
      </w:r>
    </w:p>
    <w:p w:rsidR="00904C91" w:rsidRPr="00A71FA0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hd w:val="clear" w:color="auto" w:fill="FFD821"/>
        </w:rPr>
      </w:pPr>
      <w:r w:rsidRPr="004277CC">
        <w:rPr>
          <w:rFonts w:ascii="Times New Roman" w:hAnsi="Times New Roman"/>
          <w:sz w:val="28"/>
        </w:rPr>
        <w:t xml:space="preserve">Проект постановления в составе материалов, обосновывающих объемы (лимиты, квоты) изъятия охотничьих ресурсов на территории Камчатского </w:t>
      </w:r>
      <w:r w:rsidR="004277CC" w:rsidRPr="004277CC">
        <w:rPr>
          <w:rFonts w:ascii="Times New Roman" w:hAnsi="Times New Roman"/>
          <w:sz w:val="28"/>
        </w:rPr>
        <w:t>края на период с 01 августа 2024 года до 01 августа 2025</w:t>
      </w:r>
      <w:r w:rsidRPr="004277CC">
        <w:rPr>
          <w:rFonts w:ascii="Times New Roman" w:hAnsi="Times New Roman"/>
          <w:sz w:val="28"/>
        </w:rPr>
        <w:t xml:space="preserve"> года, в установленном порядке 15 мая 2023 года был направлен в Министерство природных ресурсов и экологии Камчатского края для проведения государственной экологической эксп</w:t>
      </w:r>
      <w:r w:rsidR="004277CC" w:rsidRPr="004277CC">
        <w:rPr>
          <w:rFonts w:ascii="Times New Roman" w:hAnsi="Times New Roman"/>
          <w:sz w:val="28"/>
        </w:rPr>
        <w:t>ертизы по завершении которой (14 июня 2024</w:t>
      </w:r>
      <w:r w:rsidRPr="004277CC">
        <w:rPr>
          <w:rFonts w:ascii="Times New Roman" w:hAnsi="Times New Roman"/>
          <w:sz w:val="28"/>
        </w:rPr>
        <w:t>) направлен в адрес Минприроды России (письмо Ми</w:t>
      </w:r>
      <w:r w:rsidR="004277CC">
        <w:rPr>
          <w:rFonts w:ascii="Times New Roman" w:hAnsi="Times New Roman"/>
          <w:sz w:val="28"/>
        </w:rPr>
        <w:t>нистерства от 14.06.2023 № 59.08/2852</w:t>
      </w:r>
      <w:r w:rsidRPr="004277CC">
        <w:rPr>
          <w:rFonts w:ascii="Times New Roman" w:hAnsi="Times New Roman"/>
          <w:sz w:val="28"/>
        </w:rPr>
        <w:t>) с целью согласования в установленном порядке проекта лимита и квот добычи лося, снежного барана, соболя и рыси, а также, для сведения - проекты лимита и квот добычи бурого медведя и выдры</w:t>
      </w:r>
      <w:r w:rsidRPr="00A71FA0">
        <w:rPr>
          <w:rFonts w:ascii="Times New Roman" w:hAnsi="Times New Roman"/>
          <w:sz w:val="28"/>
        </w:rPr>
        <w:t xml:space="preserve">. Согласование Минприроды России </w:t>
      </w:r>
      <w:r w:rsidR="00593ECE" w:rsidRPr="00A71FA0">
        <w:rPr>
          <w:rFonts w:ascii="Times New Roman" w:hAnsi="Times New Roman"/>
          <w:sz w:val="28"/>
        </w:rPr>
        <w:t>__________</w:t>
      </w:r>
      <w:r w:rsidRPr="00A71FA0">
        <w:rPr>
          <w:rFonts w:ascii="Times New Roman" w:hAnsi="Times New Roman"/>
          <w:sz w:val="28"/>
        </w:rPr>
        <w:t xml:space="preserve">. Положительное заключение экспертной комиссии утверждено приказом Министерства природных ресурсов и экологии Камчатского края от </w:t>
      </w:r>
      <w:r w:rsidR="00546F4B" w:rsidRPr="00546F4B">
        <w:rPr>
          <w:rFonts w:ascii="Times New Roman" w:hAnsi="Times New Roman"/>
          <w:sz w:val="28"/>
        </w:rPr>
        <w:t xml:space="preserve">13.06.2024 № 183-П </w:t>
      </w:r>
      <w:r w:rsidRPr="00A71FA0">
        <w:rPr>
          <w:rFonts w:ascii="Times New Roman" w:hAnsi="Times New Roman"/>
          <w:sz w:val="28"/>
        </w:rPr>
        <w:t>«Об утверждении заключения экспертной комиссии государственной экологической экспертизы».</w:t>
      </w:r>
    </w:p>
    <w:p w:rsidR="00904C91" w:rsidRPr="0028151A" w:rsidRDefault="009375F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28151A">
        <w:rPr>
          <w:rFonts w:ascii="Times New Roman" w:hAnsi="Times New Roman"/>
          <w:sz w:val="28"/>
        </w:rPr>
        <w:t xml:space="preserve">В соответствии с постановлением Правительства Камчатского края от 21.07.2022 № 386-П «Об утверждении Положения о порядке проведения антикоррупционной экспертизы </w:t>
      </w:r>
      <w:bookmarkStart w:id="0" w:name="_GoBack"/>
      <w:r w:rsidRPr="0028151A">
        <w:rPr>
          <w:rFonts w:ascii="Times New Roman" w:hAnsi="Times New Roman"/>
          <w:sz w:val="28"/>
        </w:rPr>
        <w:t xml:space="preserve">изданных </w:t>
      </w:r>
      <w:bookmarkEnd w:id="0"/>
      <w:r w:rsidRPr="0028151A">
        <w:rPr>
          <w:rFonts w:ascii="Times New Roman" w:hAnsi="Times New Roman"/>
          <w:sz w:val="28"/>
        </w:rPr>
        <w:t xml:space="preserve">исполнительными органами </w:t>
      </w:r>
      <w:r w:rsidRPr="0028151A">
        <w:rPr>
          <w:rFonts w:ascii="Times New Roman" w:hAnsi="Times New Roman"/>
          <w:sz w:val="28"/>
        </w:rPr>
        <w:lastRenderedPageBreak/>
        <w:t>Камчатского края нормативных правовых актов Камчатского края и их проектов» настоящий 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28151A">
        <w:rPr>
          <w:rFonts w:ascii="Times New Roman" w:hAnsi="Times New Roman"/>
          <w:sz w:val="28"/>
        </w:rPr>
        <w:t>htths</w:t>
      </w:r>
      <w:proofErr w:type="spellEnd"/>
      <w:r w:rsidRPr="0028151A">
        <w:rPr>
          <w:rFonts w:ascii="Times New Roman" w:hAnsi="Times New Roman"/>
          <w:sz w:val="28"/>
        </w:rPr>
        <w:t xml:space="preserve">://npaproject.kamgov.ru) для обеспечения возможности проведения независимой антикоррупционной экспертизы в срок с </w:t>
      </w:r>
      <w:r w:rsidR="0028151A" w:rsidRPr="0028151A">
        <w:rPr>
          <w:rFonts w:ascii="Times New Roman" w:hAnsi="Times New Roman"/>
          <w:sz w:val="28"/>
        </w:rPr>
        <w:t>________ по _______</w:t>
      </w:r>
      <w:r w:rsidRPr="0028151A">
        <w:rPr>
          <w:rFonts w:ascii="Times New Roman" w:hAnsi="Times New Roman"/>
          <w:sz w:val="28"/>
        </w:rPr>
        <w:t>. По окончании данного срока экспертных заключений</w:t>
      </w:r>
      <w:r w:rsidR="0028151A" w:rsidRPr="0028151A">
        <w:rPr>
          <w:rFonts w:ascii="Times New Roman" w:hAnsi="Times New Roman"/>
          <w:sz w:val="28"/>
        </w:rPr>
        <w:t>_______________</w:t>
      </w:r>
      <w:r w:rsidRPr="0028151A">
        <w:rPr>
          <w:rFonts w:ascii="Times New Roman" w:hAnsi="Times New Roman"/>
          <w:sz w:val="28"/>
        </w:rPr>
        <w:t>.</w:t>
      </w:r>
    </w:p>
    <w:p w:rsidR="00904C91" w:rsidRDefault="009375F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3373B1">
        <w:rPr>
          <w:rFonts w:ascii="Times New Roman" w:hAnsi="Times New Roman"/>
          <w:sz w:val="28"/>
        </w:rPr>
        <w:t>Одновременно проектом, в соответствии с разъяснениями Главного правового управления от 16.05.2023 № 11/173 «О правилах юридической техники», признается утратившим силу правовой акт, носящий срочный характер, в связи с истечен</w:t>
      </w:r>
      <w:r w:rsidR="003373B1" w:rsidRPr="003373B1">
        <w:rPr>
          <w:rFonts w:ascii="Times New Roman" w:hAnsi="Times New Roman"/>
          <w:sz w:val="28"/>
        </w:rPr>
        <w:t>ием 1 августа 2024</w:t>
      </w:r>
      <w:r w:rsidRPr="003373B1">
        <w:rPr>
          <w:rFonts w:ascii="Times New Roman" w:hAnsi="Times New Roman"/>
          <w:sz w:val="28"/>
        </w:rPr>
        <w:t xml:space="preserve"> года срока его действия.</w:t>
      </w:r>
    </w:p>
    <w:p w:rsidR="00904C91" w:rsidRDefault="00904C91">
      <w:pPr>
        <w:rPr>
          <w:rFonts w:ascii="Times New Roman" w:hAnsi="Times New Roman"/>
          <w:sz w:val="28"/>
        </w:rPr>
      </w:pPr>
    </w:p>
    <w:sectPr w:rsidR="00904C91">
      <w:headerReference w:type="default" r:id="rId6"/>
      <w:pgSz w:w="11906" w:h="16838"/>
      <w:pgMar w:top="709" w:right="850" w:bottom="851" w:left="1418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E09" w:rsidRDefault="00241E09">
      <w:pPr>
        <w:spacing w:after="0" w:line="240" w:lineRule="auto"/>
      </w:pPr>
      <w:r>
        <w:separator/>
      </w:r>
    </w:p>
  </w:endnote>
  <w:endnote w:type="continuationSeparator" w:id="0">
    <w:p w:rsidR="00241E09" w:rsidRDefault="00241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E09" w:rsidRDefault="00241E09">
      <w:pPr>
        <w:spacing w:after="0" w:line="240" w:lineRule="auto"/>
      </w:pPr>
      <w:r>
        <w:separator/>
      </w:r>
    </w:p>
  </w:footnote>
  <w:footnote w:type="continuationSeparator" w:id="0">
    <w:p w:rsidR="00241E09" w:rsidRDefault="00241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C91" w:rsidRPr="00852225" w:rsidRDefault="009375F3">
    <w:pPr>
      <w:framePr w:wrap="around" w:vAnchor="text" w:hAnchor="margin" w:xAlign="center" w:y="1"/>
      <w:rPr>
        <w:rFonts w:ascii="Times New Roman" w:hAnsi="Times New Roman"/>
        <w:sz w:val="24"/>
        <w:szCs w:val="24"/>
      </w:rPr>
    </w:pPr>
    <w:r w:rsidRPr="00852225">
      <w:rPr>
        <w:rFonts w:ascii="Times New Roman" w:hAnsi="Times New Roman"/>
        <w:sz w:val="24"/>
        <w:szCs w:val="24"/>
      </w:rPr>
      <w:fldChar w:fldCharType="begin"/>
    </w:r>
    <w:r w:rsidRPr="00852225">
      <w:rPr>
        <w:rFonts w:ascii="Times New Roman" w:hAnsi="Times New Roman"/>
        <w:sz w:val="24"/>
        <w:szCs w:val="24"/>
      </w:rPr>
      <w:instrText xml:space="preserve">PAGE </w:instrText>
    </w:r>
    <w:r w:rsidRPr="00852225">
      <w:rPr>
        <w:rFonts w:ascii="Times New Roman" w:hAnsi="Times New Roman"/>
        <w:sz w:val="24"/>
        <w:szCs w:val="24"/>
      </w:rPr>
      <w:fldChar w:fldCharType="separate"/>
    </w:r>
    <w:r w:rsidR="00852225">
      <w:rPr>
        <w:rFonts w:ascii="Times New Roman" w:hAnsi="Times New Roman"/>
        <w:noProof/>
        <w:sz w:val="24"/>
        <w:szCs w:val="24"/>
      </w:rPr>
      <w:t>3</w:t>
    </w:r>
    <w:r w:rsidRPr="00852225">
      <w:rPr>
        <w:rFonts w:ascii="Times New Roman" w:hAnsi="Times New Roman"/>
        <w:sz w:val="24"/>
        <w:szCs w:val="24"/>
      </w:rPr>
      <w:fldChar w:fldCharType="end"/>
    </w:r>
  </w:p>
  <w:p w:rsidR="00904C91" w:rsidRDefault="00904C91">
    <w:pPr>
      <w:pStyle w:val="a5"/>
      <w:jc w:val="center"/>
    </w:pPr>
  </w:p>
  <w:p w:rsidR="00904C91" w:rsidRDefault="00904C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91"/>
    <w:rsid w:val="00022404"/>
    <w:rsid w:val="000315DC"/>
    <w:rsid w:val="001D2B35"/>
    <w:rsid w:val="001E4920"/>
    <w:rsid w:val="00241E09"/>
    <w:rsid w:val="0028151A"/>
    <w:rsid w:val="002F1D6E"/>
    <w:rsid w:val="003373B1"/>
    <w:rsid w:val="00337A2F"/>
    <w:rsid w:val="00380992"/>
    <w:rsid w:val="004052D0"/>
    <w:rsid w:val="004277CC"/>
    <w:rsid w:val="004C7ECC"/>
    <w:rsid w:val="00546F4B"/>
    <w:rsid w:val="00593ECE"/>
    <w:rsid w:val="00604185"/>
    <w:rsid w:val="00667E66"/>
    <w:rsid w:val="006D6D17"/>
    <w:rsid w:val="00714194"/>
    <w:rsid w:val="00852225"/>
    <w:rsid w:val="00904C91"/>
    <w:rsid w:val="009375F3"/>
    <w:rsid w:val="00947BAF"/>
    <w:rsid w:val="00A71FA0"/>
    <w:rsid w:val="00A766FA"/>
    <w:rsid w:val="00AA7225"/>
    <w:rsid w:val="00B5627D"/>
    <w:rsid w:val="00BD3229"/>
    <w:rsid w:val="00BE6454"/>
    <w:rsid w:val="00DA6A9A"/>
    <w:rsid w:val="00EB4463"/>
    <w:rsid w:val="00F45A30"/>
    <w:rsid w:val="00F6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D0030-8DDE-43D0-97C0-3B6C27A5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basedOn w:val="14"/>
    <w:link w:val="15"/>
    <w:rPr>
      <w:color w:val="0563C1" w:themeColor="hyperlink"/>
      <w:u w:val="single"/>
    </w:rPr>
  </w:style>
  <w:style w:type="character" w:customStyle="1" w:styleId="15">
    <w:name w:val="Гиперссылка1"/>
    <w:basedOn w:val="16"/>
    <w:link w:val="13"/>
    <w:rPr>
      <w:color w:val="0563C1" w:themeColor="hyperlink"/>
      <w:u w:val="single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Гайчева Ольга Николаевна</cp:lastModifiedBy>
  <cp:revision>27</cp:revision>
  <dcterms:created xsi:type="dcterms:W3CDTF">2023-07-27T23:50:00Z</dcterms:created>
  <dcterms:modified xsi:type="dcterms:W3CDTF">2024-07-04T03:51:00Z</dcterms:modified>
</cp:coreProperties>
</file>