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 w:rsidP="001A31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C62E2" w:rsidRPr="001608B0" w:rsidRDefault="00EC62E2" w:rsidP="00B2106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1 к постановлению Губернатора Камчатского края от 14.08.2023 № 35 «</w:t>
            </w:r>
            <w:r>
              <w:rPr>
                <w:rStyle w:val="fontstyle01"/>
              </w:rPr>
              <w:t>Об утверждении детализированных перечней мероприятий, реализуемых в рамках одобренных</w:t>
            </w:r>
            <w:r w:rsidR="00B21062">
              <w:rPr>
                <w:rStyle w:val="fontstyle01"/>
              </w:rPr>
              <w:br/>
            </w:r>
            <w:r>
              <w:rPr>
                <w:rStyle w:val="fontstyle01"/>
              </w:rPr>
              <w:t>президиумом (штабом) Правительственной комиссии по региональному развитию в Российской Федерации мероприятий, источником</w:t>
            </w:r>
            <w:r w:rsidR="00B21062">
              <w:rPr>
                <w:rStyle w:val="fontstyle01"/>
              </w:rPr>
              <w:br/>
            </w:r>
            <w:bookmarkStart w:id="1" w:name="_GoBack"/>
            <w:bookmarkEnd w:id="1"/>
            <w:r>
              <w:rPr>
                <w:rStyle w:val="fontstyle01"/>
              </w:rPr>
              <w:t>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бюджета, предоставляемые Федеральным казначейством бюджетам субъектов Российской Федерации (специальные казначейские кредиты)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405498" w:rsidRDefault="00405498" w:rsidP="001A31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4132" w:rsidRPr="00C64132" w:rsidRDefault="00C64132" w:rsidP="00C641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16D51" w:rsidRPr="00C64132">
        <w:rPr>
          <w:rFonts w:ascii="Times New Roman" w:hAnsi="Times New Roman"/>
          <w:sz w:val="28"/>
        </w:rPr>
        <w:t xml:space="preserve">Изложить </w:t>
      </w:r>
      <w:r w:rsidR="006E6528" w:rsidRPr="00C64132">
        <w:rPr>
          <w:rFonts w:ascii="Times New Roman" w:hAnsi="Times New Roman"/>
          <w:sz w:val="28"/>
        </w:rPr>
        <w:t xml:space="preserve">таблицу приложения 1 </w:t>
      </w:r>
      <w:r>
        <w:rPr>
          <w:rFonts w:ascii="Times New Roman" w:hAnsi="Times New Roman"/>
          <w:sz w:val="28"/>
        </w:rPr>
        <w:t>и таблицу 2 приложения 2</w:t>
      </w:r>
      <w:r w:rsidR="00B21062">
        <w:rPr>
          <w:rFonts w:ascii="Times New Roman" w:hAnsi="Times New Roman"/>
          <w:sz w:val="28"/>
        </w:rPr>
        <w:br/>
      </w:r>
      <w:r w:rsidR="006E6528" w:rsidRPr="00C64132">
        <w:rPr>
          <w:rFonts w:ascii="Times New Roman" w:hAnsi="Times New Roman"/>
          <w:sz w:val="28"/>
        </w:rPr>
        <w:t>к постановлению Губернатора Камчатского края от 14.08.2023 № 35</w:t>
      </w:r>
      <w:r w:rsidR="00B21062">
        <w:rPr>
          <w:rFonts w:ascii="Times New Roman" w:hAnsi="Times New Roman"/>
          <w:sz w:val="28"/>
        </w:rPr>
        <w:br/>
      </w:r>
      <w:r w:rsidR="006E6528" w:rsidRPr="00C64132">
        <w:rPr>
          <w:rFonts w:ascii="Times New Roman" w:hAnsi="Times New Roman"/>
          <w:sz w:val="28"/>
        </w:rPr>
        <w:t>«</w:t>
      </w:r>
      <w:r w:rsidR="00356960">
        <w:rPr>
          <w:rStyle w:val="fontstyle01"/>
          <w:b w:val="0"/>
        </w:rPr>
        <w:t xml:space="preserve">Об утверждении </w:t>
      </w:r>
      <w:r w:rsidR="003D755B">
        <w:rPr>
          <w:rStyle w:val="fontstyle01"/>
          <w:b w:val="0"/>
        </w:rPr>
        <w:t>де</w:t>
      </w:r>
      <w:r w:rsidR="006E6528" w:rsidRPr="00C64132">
        <w:rPr>
          <w:rStyle w:val="fontstyle01"/>
          <w:b w:val="0"/>
        </w:rPr>
        <w:t>тализированных перечней мероприятий, реализуемых в</w:t>
      </w:r>
      <w:r w:rsidR="00B21062">
        <w:rPr>
          <w:rStyle w:val="fontstyle01"/>
          <w:b w:val="0"/>
        </w:rPr>
        <w:br/>
      </w:r>
      <w:r w:rsidR="00356960">
        <w:rPr>
          <w:rStyle w:val="fontstyle01"/>
          <w:b w:val="0"/>
        </w:rPr>
        <w:t xml:space="preserve">рамках </w:t>
      </w:r>
      <w:r w:rsidR="006E6528" w:rsidRPr="00C64132">
        <w:rPr>
          <w:rStyle w:val="fontstyle01"/>
          <w:b w:val="0"/>
        </w:rPr>
        <w:t>одобренных президиумом (штабом) Правительственной комиссии по</w:t>
      </w:r>
      <w:r w:rsidR="00B21062">
        <w:rPr>
          <w:rStyle w:val="fontstyle01"/>
          <w:b w:val="0"/>
        </w:rPr>
        <w:br/>
      </w:r>
      <w:r w:rsidR="00356960">
        <w:rPr>
          <w:rStyle w:val="fontstyle01"/>
          <w:b w:val="0"/>
        </w:rPr>
        <w:t xml:space="preserve">региональному </w:t>
      </w:r>
      <w:r w:rsidR="006E6528" w:rsidRPr="00C64132">
        <w:rPr>
          <w:rStyle w:val="fontstyle01"/>
          <w:b w:val="0"/>
        </w:rPr>
        <w:t>развитию в Российской Федерации меро</w:t>
      </w:r>
      <w:r w:rsidR="00356960">
        <w:rPr>
          <w:rStyle w:val="fontstyle01"/>
          <w:b w:val="0"/>
        </w:rPr>
        <w:t xml:space="preserve">приятий, источником финансового </w:t>
      </w:r>
      <w:r w:rsidR="006E6528" w:rsidRPr="00C64132">
        <w:rPr>
          <w:rStyle w:val="fontstyle01"/>
          <w:b w:val="0"/>
        </w:rPr>
        <w:t>обеспечения расходов на реализацию которых являются</w:t>
      </w:r>
      <w:r w:rsidR="00B21062">
        <w:rPr>
          <w:rStyle w:val="fontstyle01"/>
          <w:b w:val="0"/>
        </w:rPr>
        <w:br/>
      </w:r>
      <w:r w:rsidR="006E6528" w:rsidRPr="00C64132">
        <w:rPr>
          <w:rStyle w:val="fontstyle01"/>
          <w:b w:val="0"/>
        </w:rPr>
        <w:t>бюджетные кредиты за счет временно свободных средств единого счета</w:t>
      </w:r>
      <w:r w:rsidR="00B21062">
        <w:rPr>
          <w:rStyle w:val="fontstyle01"/>
          <w:b w:val="0"/>
        </w:rPr>
        <w:br/>
      </w:r>
      <w:r w:rsidR="00356960">
        <w:rPr>
          <w:rStyle w:val="fontstyle01"/>
          <w:b w:val="0"/>
        </w:rPr>
        <w:t xml:space="preserve">федерального бюджета, </w:t>
      </w:r>
      <w:r w:rsidR="006E6528" w:rsidRPr="00C64132">
        <w:rPr>
          <w:rStyle w:val="fontstyle01"/>
          <w:b w:val="0"/>
        </w:rPr>
        <w:t>предоставляемые Федеральным казначейством</w:t>
      </w:r>
      <w:r w:rsidR="00B21062">
        <w:rPr>
          <w:rStyle w:val="fontstyle01"/>
          <w:b w:val="0"/>
        </w:rPr>
        <w:br/>
      </w:r>
      <w:r w:rsidR="006E6528" w:rsidRPr="00C64132">
        <w:rPr>
          <w:rStyle w:val="fontstyle01"/>
          <w:b w:val="0"/>
        </w:rPr>
        <w:t>бюджетам субъектов Российской Федерации (специальные казначейские</w:t>
      </w:r>
      <w:r w:rsidR="00B21062">
        <w:rPr>
          <w:rStyle w:val="fontstyle01"/>
          <w:b w:val="0"/>
        </w:rPr>
        <w:br/>
      </w:r>
      <w:r w:rsidR="006E6528" w:rsidRPr="00C64132">
        <w:rPr>
          <w:rStyle w:val="fontstyle01"/>
          <w:b w:val="0"/>
        </w:rPr>
        <w:t>кредиты)</w:t>
      </w:r>
      <w:r w:rsidR="006E6528" w:rsidRPr="00C64132">
        <w:rPr>
          <w:rFonts w:ascii="Times New Roman" w:hAnsi="Times New Roman"/>
          <w:b/>
          <w:sz w:val="28"/>
        </w:rPr>
        <w:t>»</w:t>
      </w:r>
      <w:r w:rsidR="00516D51" w:rsidRPr="00C64132">
        <w:rPr>
          <w:rFonts w:ascii="Times New Roman" w:hAnsi="Times New Roman"/>
          <w:sz w:val="28"/>
        </w:rPr>
        <w:t xml:space="preserve"> </w:t>
      </w:r>
      <w:r w:rsidR="001A31E8" w:rsidRPr="00C64132">
        <w:rPr>
          <w:rFonts w:ascii="Times New Roman" w:hAnsi="Times New Roman"/>
          <w:sz w:val="28"/>
        </w:rPr>
        <w:t xml:space="preserve">согласно приложению к настоящему постановлению. </w:t>
      </w:r>
    </w:p>
    <w:p w:rsidR="001A31E8" w:rsidRDefault="006E6528" w:rsidP="001A31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 w:rsidR="00405498" w:rsidRDefault="00405498" w:rsidP="001A31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1A31E8" w:rsidRDefault="001A31E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1A31E8" w:rsidRDefault="001A31E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405498" w:rsidRDefault="001A31E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A0129C" w:rsidRDefault="00A0129C" w:rsidP="00A0129C">
      <w:pPr>
        <w:widowControl w:val="0"/>
        <w:rPr>
          <w:rFonts w:ascii="Times New Roman" w:hAnsi="Times New Roman"/>
          <w:sz w:val="28"/>
        </w:rPr>
        <w:sectPr w:rsidR="00A0129C" w:rsidSect="00FD6370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 w:rsidTr="007C11EC">
        <w:trPr>
          <w:jc w:val="right"/>
        </w:trPr>
        <w:tc>
          <w:tcPr>
            <w:tcW w:w="480" w:type="dxa"/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 w:rsidTr="007C11EC">
        <w:trPr>
          <w:jc w:val="right"/>
        </w:trPr>
        <w:tc>
          <w:tcPr>
            <w:tcW w:w="480" w:type="dxa"/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 w:rsidTr="007C11EC">
        <w:trPr>
          <w:jc w:val="right"/>
        </w:trPr>
        <w:tc>
          <w:tcPr>
            <w:tcW w:w="480" w:type="dxa"/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0129C" w:rsidRDefault="00A0129C">
      <w:pPr>
        <w:rPr>
          <w:rFonts w:ascii="Times New Roman" w:hAnsi="Times New Roman"/>
          <w:sz w:val="24"/>
        </w:rPr>
      </w:pPr>
    </w:p>
    <w:p w:rsidR="0052650C" w:rsidRDefault="002B3BBB" w:rsidP="0052650C">
      <w:pPr>
        <w:spacing w:after="0" w:line="240" w:lineRule="auto"/>
        <w:jc w:val="right"/>
        <w:rPr>
          <w:rStyle w:val="fontstyle01"/>
          <w:b w:val="0"/>
        </w:rPr>
      </w:pPr>
      <w:r>
        <w:rPr>
          <w:rStyle w:val="fontstyle01"/>
          <w:b w:val="0"/>
        </w:rPr>
        <w:t>«</w:t>
      </w:r>
      <w:r w:rsidR="0052650C" w:rsidRPr="0052650C">
        <w:rPr>
          <w:rStyle w:val="fontstyle01"/>
          <w:b w:val="0"/>
        </w:rPr>
        <w:t>Приложение 1</w:t>
      </w:r>
      <w:r w:rsidR="0052650C">
        <w:rPr>
          <w:rStyle w:val="fontstyle01"/>
          <w:b w:val="0"/>
        </w:rPr>
        <w:t xml:space="preserve"> к постановлению</w:t>
      </w:r>
    </w:p>
    <w:p w:rsidR="0052650C" w:rsidRDefault="0052650C" w:rsidP="0052650C">
      <w:pPr>
        <w:spacing w:after="0" w:line="240" w:lineRule="auto"/>
        <w:jc w:val="center"/>
        <w:rPr>
          <w:rStyle w:val="fontstyle01"/>
          <w:b w:val="0"/>
        </w:rPr>
      </w:pPr>
      <w:r>
        <w:rPr>
          <w:rStyle w:val="fontstyle01"/>
          <w:b w:val="0"/>
        </w:rPr>
        <w:t xml:space="preserve">                                                                                                                                                       Губернатора Камчатского края </w:t>
      </w:r>
    </w:p>
    <w:p w:rsidR="0052650C" w:rsidRPr="0052650C" w:rsidRDefault="0052650C" w:rsidP="0052650C">
      <w:pPr>
        <w:spacing w:after="0" w:line="240" w:lineRule="auto"/>
        <w:jc w:val="center"/>
        <w:rPr>
          <w:rStyle w:val="fontstyle01"/>
          <w:b w:val="0"/>
        </w:rPr>
      </w:pPr>
      <w:r>
        <w:rPr>
          <w:rStyle w:val="fontstyle01"/>
          <w:b w:val="0"/>
        </w:rPr>
        <w:t xml:space="preserve">                                                                                                                                   </w:t>
      </w:r>
      <w:r>
        <w:rPr>
          <w:rStyle w:val="fontstyle01"/>
          <w:rFonts w:hint="eastAsia"/>
          <w:b w:val="0"/>
        </w:rPr>
        <w:t>о</w:t>
      </w:r>
      <w:r>
        <w:rPr>
          <w:rStyle w:val="fontstyle01"/>
          <w:b w:val="0"/>
        </w:rPr>
        <w:t>т 14.08.2023 № 35</w:t>
      </w:r>
      <w:r w:rsidRPr="0052650C">
        <w:rPr>
          <w:rStyle w:val="fontstyle01"/>
          <w:b w:val="0"/>
        </w:rPr>
        <w:t xml:space="preserve"> </w:t>
      </w:r>
    </w:p>
    <w:p w:rsidR="0052650C" w:rsidRDefault="0052650C" w:rsidP="00591145">
      <w:pPr>
        <w:spacing w:after="0" w:line="240" w:lineRule="auto"/>
        <w:rPr>
          <w:rStyle w:val="fontstyle01"/>
        </w:rPr>
      </w:pPr>
    </w:p>
    <w:p w:rsidR="009D525D" w:rsidRDefault="009D525D" w:rsidP="009D525D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Детализированный перечень мероприятий, </w:t>
      </w:r>
    </w:p>
    <w:p w:rsidR="009D525D" w:rsidRDefault="009D525D" w:rsidP="009D525D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реализуемых в рамках одобренного президиумом (штабом) Правительственной комиссии по региональному </w:t>
      </w:r>
      <w:r w:rsidR="00676D78">
        <w:rPr>
          <w:rStyle w:val="fontstyle01"/>
        </w:rPr>
        <w:t xml:space="preserve">         </w:t>
      </w:r>
      <w:r>
        <w:rPr>
          <w:rStyle w:val="fontstyle01"/>
        </w:rPr>
        <w:t xml:space="preserve">развитию в Российской Федерации мероприятия по направлению, указанному в подпункте «в» пункта 3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бюджета, утвержденных постановлением </w:t>
      </w:r>
      <w:r w:rsidR="00676D78">
        <w:rPr>
          <w:rStyle w:val="fontstyle01"/>
        </w:rPr>
        <w:t xml:space="preserve">             </w:t>
      </w:r>
      <w:r>
        <w:rPr>
          <w:rStyle w:val="fontstyle01"/>
        </w:rPr>
        <w:t>Правительства Российской Федерации от 31.03.2023 № 525</w:t>
      </w:r>
    </w:p>
    <w:p w:rsidR="009D525D" w:rsidRDefault="009D525D" w:rsidP="003570F1">
      <w:pPr>
        <w:spacing w:after="0" w:line="240" w:lineRule="auto"/>
        <w:rPr>
          <w:rStyle w:val="fontstyle01"/>
        </w:rPr>
      </w:pPr>
    </w:p>
    <w:tbl>
      <w:tblPr>
        <w:tblStyle w:val="af0"/>
        <w:tblW w:w="15446" w:type="dxa"/>
        <w:tblLayout w:type="fixed"/>
        <w:tblLook w:val="04A0" w:firstRow="1" w:lastRow="0" w:firstColumn="1" w:lastColumn="0" w:noHBand="0" w:noVBand="1"/>
      </w:tblPr>
      <w:tblGrid>
        <w:gridCol w:w="550"/>
        <w:gridCol w:w="1713"/>
        <w:gridCol w:w="1701"/>
        <w:gridCol w:w="2127"/>
        <w:gridCol w:w="992"/>
        <w:gridCol w:w="992"/>
        <w:gridCol w:w="992"/>
        <w:gridCol w:w="993"/>
        <w:gridCol w:w="992"/>
        <w:gridCol w:w="1276"/>
        <w:gridCol w:w="1417"/>
        <w:gridCol w:w="851"/>
        <w:gridCol w:w="850"/>
      </w:tblGrid>
      <w:tr w:rsidR="00993C81" w:rsidRPr="008C4F77" w:rsidTr="00145E70">
        <w:tc>
          <w:tcPr>
            <w:tcW w:w="550" w:type="dxa"/>
            <w:vMerge w:val="restart"/>
            <w:vAlign w:val="center"/>
          </w:tcPr>
          <w:p w:rsidR="00993C81" w:rsidRPr="008C4F77" w:rsidRDefault="00993C81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№ п/п</w:t>
            </w:r>
          </w:p>
        </w:tc>
        <w:tc>
          <w:tcPr>
            <w:tcW w:w="1713" w:type="dxa"/>
            <w:vMerge w:val="restart"/>
            <w:vAlign w:val="center"/>
          </w:tcPr>
          <w:p w:rsidR="00993C81" w:rsidRPr="008C4F77" w:rsidRDefault="00993C81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993C81" w:rsidRPr="008C4F77" w:rsidRDefault="00993C81" w:rsidP="003C387C">
            <w:pPr>
              <w:jc w:val="center"/>
              <w:rPr>
                <w:rFonts w:ascii="Times New Roman" w:hAnsi="Times New Roman"/>
                <w:sz w:val="20"/>
              </w:rPr>
            </w:pPr>
            <w:r w:rsidRPr="008C4F77">
              <w:rPr>
                <w:rFonts w:ascii="Times New Roman" w:hAnsi="Times New Roman"/>
                <w:sz w:val="20"/>
              </w:rPr>
              <w:t>Наименование мероприятия/</w:t>
            </w:r>
          </w:p>
          <w:p w:rsidR="00993C81" w:rsidRPr="008C4F77" w:rsidRDefault="00993C81" w:rsidP="003C387C">
            <w:pPr>
              <w:jc w:val="center"/>
              <w:rPr>
                <w:rFonts w:ascii="Times New Roman" w:hAnsi="Times New Roman"/>
                <w:sz w:val="20"/>
              </w:rPr>
            </w:pPr>
            <w:r w:rsidRPr="008C4F77">
              <w:rPr>
                <w:rFonts w:ascii="Times New Roman" w:hAnsi="Times New Roman"/>
                <w:sz w:val="20"/>
              </w:rPr>
              <w:t>наименование объекта инфраструктуры</w:t>
            </w:r>
          </w:p>
        </w:tc>
        <w:tc>
          <w:tcPr>
            <w:tcW w:w="2127" w:type="dxa"/>
            <w:vMerge w:val="restart"/>
            <w:vAlign w:val="center"/>
          </w:tcPr>
          <w:p w:rsidR="00993C81" w:rsidRPr="008C4F77" w:rsidRDefault="00993C81" w:rsidP="003C387C">
            <w:pPr>
              <w:jc w:val="center"/>
              <w:rPr>
                <w:rFonts w:ascii="Times New Roman" w:hAnsi="Times New Roman"/>
                <w:sz w:val="20"/>
              </w:rPr>
            </w:pPr>
            <w:r w:rsidRPr="008C4F77">
              <w:rPr>
                <w:rFonts w:ascii="Times New Roman" w:hAnsi="Times New Roman"/>
                <w:sz w:val="20"/>
              </w:rPr>
              <w:t>Адрес объекта инфраструктур/</w:t>
            </w:r>
          </w:p>
          <w:p w:rsidR="00993C81" w:rsidRPr="008C4F77" w:rsidRDefault="00993C81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Fonts w:ascii="Times New Roman" w:hAnsi="Times New Roman"/>
                <w:sz w:val="20"/>
              </w:rPr>
              <w:t>проектная мощность объекта</w:t>
            </w:r>
          </w:p>
        </w:tc>
        <w:tc>
          <w:tcPr>
            <w:tcW w:w="992" w:type="dxa"/>
            <w:vMerge w:val="restart"/>
            <w:vAlign w:val="center"/>
          </w:tcPr>
          <w:p w:rsidR="00993C81" w:rsidRPr="008C4F77" w:rsidRDefault="00993C81" w:rsidP="00993C81">
            <w:pPr>
              <w:jc w:val="center"/>
              <w:rPr>
                <w:rFonts w:ascii="Times New Roman" w:hAnsi="Times New Roman"/>
                <w:sz w:val="20"/>
              </w:rPr>
            </w:pPr>
            <w:r w:rsidRPr="008C4F77">
              <w:rPr>
                <w:rFonts w:ascii="Times New Roman" w:hAnsi="Times New Roman"/>
                <w:sz w:val="20"/>
              </w:rPr>
              <w:t>Вид инфра</w:t>
            </w:r>
          </w:p>
          <w:p w:rsidR="00993C81" w:rsidRPr="008C4F77" w:rsidRDefault="00993C81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Fonts w:ascii="Times New Roman" w:hAnsi="Times New Roman"/>
                <w:sz w:val="20"/>
              </w:rPr>
              <w:t>структуры</w:t>
            </w:r>
          </w:p>
        </w:tc>
        <w:tc>
          <w:tcPr>
            <w:tcW w:w="992" w:type="dxa"/>
            <w:vMerge w:val="restart"/>
            <w:vAlign w:val="center"/>
          </w:tcPr>
          <w:p w:rsidR="00993C81" w:rsidRPr="008C4F77" w:rsidRDefault="00993C81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Fonts w:ascii="Times New Roman" w:hAnsi="Times New Roman"/>
                <w:sz w:val="20"/>
              </w:rPr>
              <w:t>Виды работ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93C81" w:rsidRPr="008C4F77" w:rsidRDefault="00993C81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Fonts w:ascii="Times New Roman" w:hAnsi="Times New Roman"/>
                <w:sz w:val="20"/>
              </w:rPr>
              <w:t>Сроки реализации</w:t>
            </w:r>
          </w:p>
        </w:tc>
        <w:tc>
          <w:tcPr>
            <w:tcW w:w="3685" w:type="dxa"/>
            <w:gridSpan w:val="3"/>
            <w:vAlign w:val="center"/>
          </w:tcPr>
          <w:p w:rsidR="00993C81" w:rsidRPr="008C4F77" w:rsidRDefault="00993C81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Источники финансирования, млн рублей</w:t>
            </w:r>
          </w:p>
        </w:tc>
        <w:tc>
          <w:tcPr>
            <w:tcW w:w="1701" w:type="dxa"/>
            <w:gridSpan w:val="2"/>
            <w:vAlign w:val="center"/>
          </w:tcPr>
          <w:p w:rsidR="00993C81" w:rsidRPr="008C4F77" w:rsidRDefault="00993C81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План освоения средств специального казначейского кредита</w:t>
            </w:r>
          </w:p>
        </w:tc>
      </w:tr>
      <w:tr w:rsidR="008C4F77" w:rsidRPr="008C4F77" w:rsidTr="00145E70">
        <w:trPr>
          <w:trHeight w:val="395"/>
        </w:trPr>
        <w:tc>
          <w:tcPr>
            <w:tcW w:w="550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  <w:r w:rsidRPr="008C4F77">
              <w:rPr>
                <w:rStyle w:val="fontstyle01"/>
                <w:rFonts w:hint="eastAsia"/>
                <w:b w:val="0"/>
                <w:sz w:val="20"/>
                <w:szCs w:val="20"/>
              </w:rPr>
              <w:t>в</w:t>
            </w:r>
            <w:r w:rsidRPr="008C4F77">
              <w:rPr>
                <w:rStyle w:val="fontstyle01"/>
                <w:b w:val="0"/>
                <w:sz w:val="20"/>
                <w:szCs w:val="20"/>
              </w:rPr>
              <w:t xml:space="preserve"> том числе</w:t>
            </w:r>
          </w:p>
        </w:tc>
        <w:tc>
          <w:tcPr>
            <w:tcW w:w="1701" w:type="dxa"/>
            <w:gridSpan w:val="2"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rFonts w:hint="eastAsia"/>
                <w:b w:val="0"/>
                <w:sz w:val="20"/>
                <w:szCs w:val="20"/>
              </w:rPr>
              <w:t>в</w:t>
            </w:r>
            <w:r w:rsidRPr="008C4F77">
              <w:rPr>
                <w:rStyle w:val="fontstyle01"/>
                <w:b w:val="0"/>
                <w:sz w:val="20"/>
                <w:szCs w:val="20"/>
              </w:rPr>
              <w:t xml:space="preserve"> том числе:</w:t>
            </w:r>
          </w:p>
        </w:tc>
      </w:tr>
      <w:tr w:rsidR="008C4F77" w:rsidRPr="008C4F77" w:rsidTr="00145E70">
        <w:tc>
          <w:tcPr>
            <w:tcW w:w="550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  <w:r w:rsidRPr="008C4F77">
              <w:rPr>
                <w:rFonts w:ascii="Times New Roman" w:hAnsi="Times New Roman"/>
                <w:sz w:val="20"/>
              </w:rPr>
              <w:t>дата начала</w:t>
            </w:r>
          </w:p>
        </w:tc>
        <w:tc>
          <w:tcPr>
            <w:tcW w:w="993" w:type="dxa"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  <w:r w:rsidRPr="008C4F77">
              <w:rPr>
                <w:rFonts w:ascii="Times New Roman" w:hAnsi="Times New Roman"/>
                <w:sz w:val="20"/>
              </w:rPr>
              <w:t>дата завершения</w:t>
            </w:r>
          </w:p>
        </w:tc>
        <w:tc>
          <w:tcPr>
            <w:tcW w:w="992" w:type="dxa"/>
            <w:vMerge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Специальный казначейский кредит</w:t>
            </w:r>
          </w:p>
        </w:tc>
        <w:tc>
          <w:tcPr>
            <w:tcW w:w="1417" w:type="dxa"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 xml:space="preserve">2023 </w:t>
            </w:r>
          </w:p>
          <w:p w:rsidR="008C4F77" w:rsidRPr="008C4F77" w:rsidRDefault="008C4F77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8C4F77" w:rsidRPr="008C4F77" w:rsidRDefault="008C4F77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 xml:space="preserve">2024 </w:t>
            </w:r>
          </w:p>
          <w:p w:rsidR="008C4F77" w:rsidRPr="008C4F77" w:rsidRDefault="008C4F77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год</w:t>
            </w:r>
          </w:p>
        </w:tc>
      </w:tr>
    </w:tbl>
    <w:p w:rsidR="00D51E46" w:rsidRPr="008C4F77" w:rsidRDefault="00D51E46" w:rsidP="00985080">
      <w:pPr>
        <w:spacing w:after="80" w:line="240" w:lineRule="auto"/>
        <w:rPr>
          <w:sz w:val="2"/>
          <w:szCs w:val="2"/>
        </w:rPr>
      </w:pPr>
    </w:p>
    <w:tbl>
      <w:tblPr>
        <w:tblStyle w:val="af0"/>
        <w:tblW w:w="15448" w:type="dxa"/>
        <w:tblLayout w:type="fixed"/>
        <w:tblLook w:val="04A0" w:firstRow="1" w:lastRow="0" w:firstColumn="1" w:lastColumn="0" w:noHBand="0" w:noVBand="1"/>
      </w:tblPr>
      <w:tblGrid>
        <w:gridCol w:w="550"/>
        <w:gridCol w:w="1713"/>
        <w:gridCol w:w="1701"/>
        <w:gridCol w:w="2127"/>
        <w:gridCol w:w="992"/>
        <w:gridCol w:w="992"/>
        <w:gridCol w:w="992"/>
        <w:gridCol w:w="993"/>
        <w:gridCol w:w="992"/>
        <w:gridCol w:w="1276"/>
        <w:gridCol w:w="1417"/>
        <w:gridCol w:w="851"/>
        <w:gridCol w:w="852"/>
      </w:tblGrid>
      <w:tr w:rsidR="00061DE0" w:rsidRPr="008C4F77" w:rsidTr="00145E70">
        <w:trPr>
          <w:tblHeader/>
        </w:trPr>
        <w:tc>
          <w:tcPr>
            <w:tcW w:w="550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</w:t>
            </w:r>
          </w:p>
        </w:tc>
        <w:tc>
          <w:tcPr>
            <w:tcW w:w="1713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13</w:t>
            </w:r>
          </w:p>
        </w:tc>
      </w:tr>
      <w:tr w:rsidR="00061DE0" w:rsidRPr="008C4F77" w:rsidTr="00145E70">
        <w:tc>
          <w:tcPr>
            <w:tcW w:w="550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1.</w:t>
            </w:r>
          </w:p>
        </w:tc>
        <w:tc>
          <w:tcPr>
            <w:tcW w:w="1713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rFonts w:hint="eastAsia"/>
                <w:b w:val="0"/>
                <w:sz w:val="20"/>
                <w:szCs w:val="20"/>
              </w:rPr>
              <w:t>город Петропавловск-Камчатский</w:t>
            </w:r>
          </w:p>
        </w:tc>
        <w:tc>
          <w:tcPr>
            <w:tcW w:w="1701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rFonts w:hint="eastAsia"/>
                <w:b w:val="0"/>
                <w:sz w:val="20"/>
                <w:szCs w:val="20"/>
              </w:rPr>
              <w:t>С</w:t>
            </w:r>
            <w:r w:rsidRPr="008C4F77">
              <w:rPr>
                <w:rStyle w:val="fontstyle01"/>
                <w:b w:val="0"/>
                <w:sz w:val="20"/>
                <w:szCs w:val="20"/>
              </w:rPr>
              <w:t xml:space="preserve">охранение объекта культурного наследия регионального значения «Дом № 13 </w:t>
            </w:r>
            <w:r w:rsidRPr="008C4F77">
              <w:rPr>
                <w:rStyle w:val="fontstyle01"/>
                <w:b w:val="0"/>
                <w:sz w:val="20"/>
                <w:szCs w:val="20"/>
              </w:rPr>
              <w:lastRenderedPageBreak/>
              <w:t xml:space="preserve">по ул. </w:t>
            </w:r>
            <w:proofErr w:type="spellStart"/>
            <w:r w:rsidRPr="008C4F77">
              <w:rPr>
                <w:rStyle w:val="fontstyle01"/>
                <w:b w:val="0"/>
                <w:sz w:val="20"/>
                <w:szCs w:val="20"/>
              </w:rPr>
              <w:t>Красинцев</w:t>
            </w:r>
            <w:proofErr w:type="spellEnd"/>
            <w:r w:rsidRPr="008C4F77">
              <w:rPr>
                <w:rStyle w:val="fontstyle01"/>
                <w:b w:val="0"/>
                <w:sz w:val="20"/>
                <w:szCs w:val="20"/>
              </w:rPr>
              <w:t xml:space="preserve"> в г. Петропавловске-камчатском»</w:t>
            </w:r>
          </w:p>
        </w:tc>
        <w:tc>
          <w:tcPr>
            <w:tcW w:w="2127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lastRenderedPageBreak/>
              <w:t xml:space="preserve">Камчатский край, г. Петропавловск-Камчатский, ул. </w:t>
            </w:r>
            <w:proofErr w:type="spellStart"/>
            <w:r w:rsidRPr="008C4F77">
              <w:rPr>
                <w:rStyle w:val="fontstyle01"/>
                <w:rFonts w:hint="eastAsia"/>
                <w:b w:val="0"/>
                <w:sz w:val="20"/>
                <w:szCs w:val="20"/>
              </w:rPr>
              <w:t>К</w:t>
            </w:r>
            <w:r w:rsidRPr="008C4F77">
              <w:rPr>
                <w:rStyle w:val="fontstyle01"/>
                <w:b w:val="0"/>
                <w:sz w:val="20"/>
                <w:szCs w:val="20"/>
              </w:rPr>
              <w:t>расин</w:t>
            </w:r>
            <w:r w:rsidRPr="008C4F77">
              <w:rPr>
                <w:rStyle w:val="fontstyle01"/>
                <w:b w:val="0"/>
                <w:sz w:val="20"/>
                <w:szCs w:val="20"/>
              </w:rPr>
              <w:lastRenderedPageBreak/>
              <w:t>цев</w:t>
            </w:r>
            <w:proofErr w:type="spellEnd"/>
            <w:r w:rsidRPr="008C4F77">
              <w:rPr>
                <w:rStyle w:val="fontstyle01"/>
                <w:b w:val="0"/>
                <w:sz w:val="20"/>
                <w:szCs w:val="20"/>
              </w:rPr>
              <w:t>, 13, площадь здания 546,9 кв. метров, 2 этажа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rFonts w:hint="eastAsia"/>
                <w:b w:val="0"/>
                <w:sz w:val="20"/>
                <w:szCs w:val="20"/>
              </w:rPr>
              <w:lastRenderedPageBreak/>
              <w:t>О</w:t>
            </w:r>
            <w:r w:rsidRPr="008C4F77">
              <w:rPr>
                <w:rStyle w:val="fontstyle01"/>
                <w:b w:val="0"/>
                <w:sz w:val="20"/>
                <w:szCs w:val="20"/>
              </w:rPr>
              <w:t xml:space="preserve">бъект культурного наследия </w:t>
            </w:r>
            <w:r w:rsidRPr="008C4F77">
              <w:rPr>
                <w:rStyle w:val="fontstyle01"/>
                <w:b w:val="0"/>
                <w:sz w:val="20"/>
                <w:szCs w:val="20"/>
              </w:rPr>
              <w:lastRenderedPageBreak/>
              <w:t>регионального значения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115,48</w:t>
            </w:r>
          </w:p>
        </w:tc>
        <w:tc>
          <w:tcPr>
            <w:tcW w:w="1276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115,48</w:t>
            </w:r>
          </w:p>
        </w:tc>
        <w:tc>
          <w:tcPr>
            <w:tcW w:w="1417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32,46</w:t>
            </w:r>
          </w:p>
        </w:tc>
        <w:tc>
          <w:tcPr>
            <w:tcW w:w="85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83,02</w:t>
            </w:r>
          </w:p>
        </w:tc>
      </w:tr>
      <w:tr w:rsidR="00061DE0" w:rsidRPr="008C4F77" w:rsidTr="00145E70">
        <w:tc>
          <w:tcPr>
            <w:tcW w:w="550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2.</w:t>
            </w:r>
          </w:p>
        </w:tc>
        <w:tc>
          <w:tcPr>
            <w:tcW w:w="1713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rFonts w:hint="eastAsia"/>
                <w:b w:val="0"/>
                <w:sz w:val="20"/>
                <w:szCs w:val="20"/>
              </w:rPr>
              <w:t>город Петропавловск-Камчатский</w:t>
            </w:r>
          </w:p>
        </w:tc>
        <w:tc>
          <w:tcPr>
            <w:tcW w:w="1701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rFonts w:hint="eastAsia"/>
                <w:b w:val="0"/>
                <w:sz w:val="20"/>
                <w:szCs w:val="20"/>
              </w:rPr>
              <w:t>С</w:t>
            </w:r>
            <w:r>
              <w:rPr>
                <w:rStyle w:val="fontstyle01"/>
                <w:b w:val="0"/>
                <w:sz w:val="20"/>
                <w:szCs w:val="20"/>
              </w:rPr>
              <w:t xml:space="preserve">троительство автомобильной дороги от пос. Заозерный до </w:t>
            </w:r>
            <w:proofErr w:type="spellStart"/>
            <w:r>
              <w:rPr>
                <w:rStyle w:val="fontstyle01"/>
                <w:b w:val="0"/>
                <w:sz w:val="20"/>
                <w:szCs w:val="20"/>
              </w:rPr>
              <w:t>Халактырского</w:t>
            </w:r>
            <w:proofErr w:type="spellEnd"/>
            <w:r>
              <w:rPr>
                <w:rStyle w:val="fontstyle01"/>
                <w:b w:val="0"/>
                <w:sz w:val="20"/>
                <w:szCs w:val="20"/>
              </w:rPr>
              <w:t xml:space="preserve"> пляжа</w:t>
            </w:r>
          </w:p>
        </w:tc>
        <w:tc>
          <w:tcPr>
            <w:tcW w:w="2127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 xml:space="preserve">Камчатский край, г. Петропавловск-Камчатский, от автомобильной дороги общего пользования регионального или межмуниципального значения «Подъезд к совхозу Петропавловский» до </w:t>
            </w:r>
            <w:proofErr w:type="spellStart"/>
            <w:r>
              <w:rPr>
                <w:rStyle w:val="fontstyle01"/>
                <w:b w:val="0"/>
                <w:sz w:val="20"/>
                <w:szCs w:val="20"/>
              </w:rPr>
              <w:t>Халактырского</w:t>
            </w:r>
            <w:proofErr w:type="spellEnd"/>
            <w:r>
              <w:rPr>
                <w:rStyle w:val="fontstyle01"/>
                <w:b w:val="0"/>
                <w:sz w:val="20"/>
                <w:szCs w:val="20"/>
              </w:rPr>
              <w:t xml:space="preserve"> пляжа, автомобильная дорога категории магистральная улица, протяженностью 4,5 км, с шириной проезжей части 7 метров 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971,12</w:t>
            </w:r>
          </w:p>
        </w:tc>
        <w:tc>
          <w:tcPr>
            <w:tcW w:w="1276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971,12</w:t>
            </w:r>
          </w:p>
        </w:tc>
        <w:tc>
          <w:tcPr>
            <w:tcW w:w="1417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485,56</w:t>
            </w:r>
          </w:p>
        </w:tc>
        <w:tc>
          <w:tcPr>
            <w:tcW w:w="85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485,56</w:t>
            </w:r>
          </w:p>
        </w:tc>
      </w:tr>
      <w:tr w:rsidR="00061DE0" w:rsidRPr="008C4F77" w:rsidTr="00145E70">
        <w:tc>
          <w:tcPr>
            <w:tcW w:w="550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3.</w:t>
            </w:r>
          </w:p>
        </w:tc>
        <w:tc>
          <w:tcPr>
            <w:tcW w:w="1713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rFonts w:hint="eastAsia"/>
                <w:b w:val="0"/>
                <w:sz w:val="20"/>
                <w:szCs w:val="20"/>
              </w:rPr>
              <w:t>город Петропавловск-Камчатский</w:t>
            </w:r>
          </w:p>
        </w:tc>
        <w:tc>
          <w:tcPr>
            <w:tcW w:w="1701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rFonts w:hint="eastAsia"/>
                <w:b w:val="0"/>
                <w:sz w:val="20"/>
                <w:szCs w:val="20"/>
              </w:rPr>
              <w:t>С</w:t>
            </w:r>
            <w:r>
              <w:rPr>
                <w:rStyle w:val="fontstyle01"/>
                <w:b w:val="0"/>
                <w:sz w:val="20"/>
                <w:szCs w:val="20"/>
              </w:rPr>
              <w:t>троительство канализационных очистных сооружений объекта «Строительство Камчатской краевой больницы»</w:t>
            </w:r>
          </w:p>
        </w:tc>
        <w:tc>
          <w:tcPr>
            <w:tcW w:w="2127" w:type="dxa"/>
            <w:vAlign w:val="center"/>
          </w:tcPr>
          <w:p w:rsidR="00061DE0" w:rsidRPr="007446A6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 xml:space="preserve">Камчатский край, </w:t>
            </w:r>
            <w:proofErr w:type="spellStart"/>
            <w:r>
              <w:rPr>
                <w:rStyle w:val="fontstyle01"/>
                <w:b w:val="0"/>
                <w:sz w:val="20"/>
                <w:szCs w:val="20"/>
              </w:rPr>
              <w:t>Елизовский</w:t>
            </w:r>
            <w:proofErr w:type="spellEnd"/>
            <w:r>
              <w:rPr>
                <w:rStyle w:val="fontstyle01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sz w:val="20"/>
                <w:szCs w:val="20"/>
              </w:rPr>
              <w:t>м.р</w:t>
            </w:r>
            <w:proofErr w:type="spellEnd"/>
            <w:r>
              <w:rPr>
                <w:rStyle w:val="fontstyle01"/>
                <w:b w:val="0"/>
                <w:sz w:val="20"/>
                <w:szCs w:val="20"/>
              </w:rPr>
              <w:t xml:space="preserve">-н., Пионерское </w:t>
            </w:r>
            <w:proofErr w:type="spellStart"/>
            <w:r>
              <w:rPr>
                <w:rStyle w:val="fontstyle01"/>
                <w:b w:val="0"/>
                <w:sz w:val="20"/>
                <w:szCs w:val="20"/>
              </w:rPr>
              <w:t>с.п</w:t>
            </w:r>
            <w:proofErr w:type="spellEnd"/>
            <w:r>
              <w:rPr>
                <w:rStyle w:val="fontstyle01"/>
                <w:b w:val="0"/>
                <w:sz w:val="20"/>
                <w:szCs w:val="20"/>
              </w:rPr>
              <w:t xml:space="preserve">., п. </w:t>
            </w:r>
            <w:proofErr w:type="spellStart"/>
            <w:r>
              <w:rPr>
                <w:rStyle w:val="fontstyle01"/>
                <w:b w:val="0"/>
                <w:sz w:val="20"/>
                <w:szCs w:val="20"/>
              </w:rPr>
              <w:t>Крутобереговый</w:t>
            </w:r>
            <w:proofErr w:type="spellEnd"/>
            <w:r>
              <w:rPr>
                <w:rStyle w:val="fontstyle01"/>
                <w:b w:val="0"/>
                <w:sz w:val="20"/>
                <w:szCs w:val="20"/>
              </w:rPr>
              <w:t>, ул. Окружная, з/у 4, производительная мощность очистных сооружений 750 м</w:t>
            </w:r>
            <w:r>
              <w:rPr>
                <w:rStyle w:val="fontstyle01"/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rStyle w:val="fontstyle01"/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rStyle w:val="fontstyle01"/>
                <w:b w:val="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rFonts w:hint="eastAsia"/>
                <w:b w:val="0"/>
                <w:sz w:val="20"/>
                <w:szCs w:val="20"/>
              </w:rPr>
              <w:t>С</w:t>
            </w:r>
            <w:r>
              <w:rPr>
                <w:rStyle w:val="fontstyle01"/>
                <w:b w:val="0"/>
                <w:sz w:val="20"/>
                <w:szCs w:val="20"/>
              </w:rPr>
              <w:t>ооружение очистки воды для хозяйственно-бытовых целей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810,37</w:t>
            </w:r>
          </w:p>
        </w:tc>
        <w:tc>
          <w:tcPr>
            <w:tcW w:w="1276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396,23</w:t>
            </w:r>
          </w:p>
        </w:tc>
        <w:tc>
          <w:tcPr>
            <w:tcW w:w="1417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414,14</w:t>
            </w:r>
          </w:p>
        </w:tc>
        <w:tc>
          <w:tcPr>
            <w:tcW w:w="851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250,23</w:t>
            </w:r>
          </w:p>
        </w:tc>
        <w:tc>
          <w:tcPr>
            <w:tcW w:w="852" w:type="dxa"/>
            <w:vAlign w:val="center"/>
          </w:tcPr>
          <w:p w:rsidR="00061DE0" w:rsidRPr="008C4F77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146,00</w:t>
            </w:r>
          </w:p>
        </w:tc>
      </w:tr>
      <w:tr w:rsidR="00061DE0" w:rsidRPr="008C4F77" w:rsidTr="00145E70">
        <w:trPr>
          <w:trHeight w:val="70"/>
        </w:trPr>
        <w:tc>
          <w:tcPr>
            <w:tcW w:w="550" w:type="dxa"/>
            <w:vAlign w:val="center"/>
          </w:tcPr>
          <w:p w:rsidR="00061DE0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4.</w:t>
            </w:r>
          </w:p>
        </w:tc>
        <w:tc>
          <w:tcPr>
            <w:tcW w:w="9510" w:type="dxa"/>
            <w:gridSpan w:val="7"/>
            <w:vAlign w:val="center"/>
          </w:tcPr>
          <w:p w:rsidR="00061DE0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061DE0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1 896,97</w:t>
            </w:r>
          </w:p>
        </w:tc>
        <w:tc>
          <w:tcPr>
            <w:tcW w:w="1276" w:type="dxa"/>
            <w:vAlign w:val="center"/>
          </w:tcPr>
          <w:p w:rsidR="00061DE0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1 482,83</w:t>
            </w:r>
          </w:p>
        </w:tc>
        <w:tc>
          <w:tcPr>
            <w:tcW w:w="1417" w:type="dxa"/>
            <w:vAlign w:val="center"/>
          </w:tcPr>
          <w:p w:rsidR="00061DE0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414,14</w:t>
            </w:r>
          </w:p>
        </w:tc>
        <w:tc>
          <w:tcPr>
            <w:tcW w:w="851" w:type="dxa"/>
            <w:vAlign w:val="center"/>
          </w:tcPr>
          <w:p w:rsidR="00061DE0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768,25</w:t>
            </w:r>
          </w:p>
        </w:tc>
        <w:tc>
          <w:tcPr>
            <w:tcW w:w="852" w:type="dxa"/>
            <w:vAlign w:val="center"/>
          </w:tcPr>
          <w:p w:rsidR="00061DE0" w:rsidRDefault="00061DE0" w:rsidP="003C387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714,58</w:t>
            </w:r>
          </w:p>
        </w:tc>
      </w:tr>
    </w:tbl>
    <w:p w:rsidR="002B3BBB" w:rsidRDefault="002B3BBB" w:rsidP="00145E70">
      <w:pPr>
        <w:spacing w:after="0" w:line="240" w:lineRule="auto"/>
        <w:rPr>
          <w:rStyle w:val="fontstyle01"/>
          <w:b w:val="0"/>
        </w:rPr>
      </w:pPr>
    </w:p>
    <w:p w:rsidR="00F20D5D" w:rsidRDefault="00591145" w:rsidP="00FD6370">
      <w:pPr>
        <w:spacing w:after="0" w:line="240" w:lineRule="auto"/>
        <w:jc w:val="right"/>
        <w:rPr>
          <w:rStyle w:val="fontstyle01"/>
          <w:b w:val="0"/>
        </w:rPr>
      </w:pPr>
      <w:r>
        <w:rPr>
          <w:rStyle w:val="fontstyle01"/>
          <w:b w:val="0"/>
        </w:rPr>
        <w:t>».</w:t>
      </w:r>
    </w:p>
    <w:p w:rsidR="00145E70" w:rsidRDefault="00145E70" w:rsidP="002B3BBB">
      <w:pPr>
        <w:spacing w:after="0" w:line="240" w:lineRule="auto"/>
        <w:jc w:val="right"/>
        <w:rPr>
          <w:rStyle w:val="fontstyle01"/>
          <w:b w:val="0"/>
        </w:rPr>
      </w:pPr>
    </w:p>
    <w:p w:rsidR="00145E70" w:rsidRDefault="00145E70" w:rsidP="002B3BBB">
      <w:pPr>
        <w:spacing w:after="0" w:line="240" w:lineRule="auto"/>
        <w:jc w:val="right"/>
        <w:rPr>
          <w:rStyle w:val="fontstyle01"/>
          <w:b w:val="0"/>
        </w:rPr>
      </w:pPr>
    </w:p>
    <w:p w:rsidR="00145E70" w:rsidRDefault="00145E70" w:rsidP="002B3BBB">
      <w:pPr>
        <w:spacing w:after="0" w:line="240" w:lineRule="auto"/>
        <w:jc w:val="right"/>
        <w:rPr>
          <w:rStyle w:val="fontstyle01"/>
          <w:b w:val="0"/>
        </w:rPr>
      </w:pPr>
    </w:p>
    <w:p w:rsidR="00145E70" w:rsidRDefault="00145E70" w:rsidP="002B3BBB">
      <w:pPr>
        <w:spacing w:after="0" w:line="240" w:lineRule="auto"/>
        <w:jc w:val="right"/>
        <w:rPr>
          <w:rStyle w:val="fontstyle01"/>
          <w:b w:val="0"/>
        </w:rPr>
      </w:pPr>
    </w:p>
    <w:p w:rsidR="002B3BBB" w:rsidRDefault="00591145" w:rsidP="002B3BBB">
      <w:pPr>
        <w:spacing w:after="0" w:line="240" w:lineRule="auto"/>
        <w:jc w:val="right"/>
        <w:rPr>
          <w:rStyle w:val="fontstyle01"/>
          <w:b w:val="0"/>
        </w:rPr>
      </w:pPr>
      <w:r>
        <w:rPr>
          <w:rStyle w:val="fontstyle01"/>
          <w:b w:val="0"/>
        </w:rPr>
        <w:lastRenderedPageBreak/>
        <w:t>«</w:t>
      </w:r>
      <w:r w:rsidR="002B3BBB">
        <w:rPr>
          <w:rStyle w:val="fontstyle01"/>
          <w:b w:val="0"/>
        </w:rPr>
        <w:t>Приложение 2 к постановлению</w:t>
      </w:r>
    </w:p>
    <w:p w:rsidR="002B3BBB" w:rsidRDefault="002B3BBB" w:rsidP="002B3BBB">
      <w:pPr>
        <w:spacing w:after="0" w:line="240" w:lineRule="auto"/>
        <w:jc w:val="center"/>
        <w:rPr>
          <w:rStyle w:val="fontstyle01"/>
          <w:b w:val="0"/>
        </w:rPr>
      </w:pPr>
      <w:r>
        <w:rPr>
          <w:rStyle w:val="fontstyle01"/>
          <w:b w:val="0"/>
        </w:rPr>
        <w:t xml:space="preserve">                                                                                                                                                       Губернатора Камчатского края </w:t>
      </w:r>
    </w:p>
    <w:p w:rsidR="002B3BBB" w:rsidRPr="0052650C" w:rsidRDefault="002B3BBB" w:rsidP="002B3BBB">
      <w:pPr>
        <w:spacing w:after="0" w:line="240" w:lineRule="auto"/>
        <w:jc w:val="center"/>
        <w:rPr>
          <w:rStyle w:val="fontstyle01"/>
          <w:b w:val="0"/>
        </w:rPr>
      </w:pPr>
      <w:r>
        <w:rPr>
          <w:rStyle w:val="fontstyle01"/>
          <w:b w:val="0"/>
        </w:rPr>
        <w:t xml:space="preserve">                                                                                                                                   </w:t>
      </w:r>
      <w:r>
        <w:rPr>
          <w:rStyle w:val="fontstyle01"/>
          <w:rFonts w:hint="eastAsia"/>
          <w:b w:val="0"/>
        </w:rPr>
        <w:t>о</w:t>
      </w:r>
      <w:r>
        <w:rPr>
          <w:rStyle w:val="fontstyle01"/>
          <w:b w:val="0"/>
        </w:rPr>
        <w:t>т 14.08.2023 № 35</w:t>
      </w:r>
      <w:r w:rsidRPr="0052650C">
        <w:rPr>
          <w:rStyle w:val="fontstyle01"/>
          <w:b w:val="0"/>
        </w:rPr>
        <w:t xml:space="preserve"> </w:t>
      </w:r>
    </w:p>
    <w:p w:rsidR="002B3BBB" w:rsidRDefault="002B3BBB" w:rsidP="003570F1">
      <w:pPr>
        <w:spacing w:after="0" w:line="240" w:lineRule="auto"/>
        <w:rPr>
          <w:rStyle w:val="fontstyle01"/>
        </w:rPr>
      </w:pPr>
    </w:p>
    <w:p w:rsidR="002B3BBB" w:rsidRDefault="002B3BBB" w:rsidP="002B3BBB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Детализированный перечень мероприятий, </w:t>
      </w:r>
    </w:p>
    <w:p w:rsidR="002B3BBB" w:rsidRDefault="002B3BBB" w:rsidP="002B3BBB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реализуемых в рамках одобренного президиумом (штабом) Правительственной комиссии по региональному </w:t>
      </w:r>
      <w:r w:rsidR="00F20D5D">
        <w:rPr>
          <w:rStyle w:val="fontstyle01"/>
        </w:rPr>
        <w:t xml:space="preserve">         </w:t>
      </w:r>
      <w:r>
        <w:rPr>
          <w:rStyle w:val="fontstyle01"/>
        </w:rPr>
        <w:t xml:space="preserve">развитию в Российской Федерации мероприятия по направлению, указанному в подпункте «г» пункта 3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бюджета, утвержденных постановлением </w:t>
      </w:r>
      <w:r w:rsidR="00F20D5D">
        <w:rPr>
          <w:rStyle w:val="fontstyle01"/>
        </w:rPr>
        <w:t xml:space="preserve">             </w:t>
      </w:r>
      <w:r>
        <w:rPr>
          <w:rStyle w:val="fontstyle01"/>
        </w:rPr>
        <w:t>Правительства Российской Федерации от 31.03.2023 № 525</w:t>
      </w:r>
    </w:p>
    <w:p w:rsidR="009D525D" w:rsidRDefault="009D525D" w:rsidP="00802CBA">
      <w:pPr>
        <w:rPr>
          <w:rFonts w:ascii="Times New Roman" w:hAnsi="Times New Roman"/>
          <w:sz w:val="24"/>
        </w:rPr>
      </w:pPr>
    </w:p>
    <w:tbl>
      <w:tblPr>
        <w:tblStyle w:val="af0"/>
        <w:tblW w:w="15163" w:type="dxa"/>
        <w:tblLayout w:type="fixed"/>
        <w:tblLook w:val="04A0" w:firstRow="1" w:lastRow="0" w:firstColumn="1" w:lastColumn="0" w:noHBand="0" w:noVBand="1"/>
      </w:tblPr>
      <w:tblGrid>
        <w:gridCol w:w="550"/>
        <w:gridCol w:w="2422"/>
        <w:gridCol w:w="1276"/>
        <w:gridCol w:w="992"/>
        <w:gridCol w:w="992"/>
        <w:gridCol w:w="851"/>
        <w:gridCol w:w="992"/>
        <w:gridCol w:w="1701"/>
        <w:gridCol w:w="1701"/>
        <w:gridCol w:w="2126"/>
        <w:gridCol w:w="1560"/>
      </w:tblGrid>
      <w:tr w:rsidR="00955DE2" w:rsidRPr="008C4F77" w:rsidTr="002C2C51">
        <w:tc>
          <w:tcPr>
            <w:tcW w:w="550" w:type="dxa"/>
            <w:vMerge w:val="restart"/>
            <w:vAlign w:val="center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955DE2">
              <w:rPr>
                <w:rStyle w:val="fontstyle01"/>
                <w:b w:val="0"/>
                <w:sz w:val="20"/>
                <w:szCs w:val="20"/>
              </w:rPr>
              <w:t>№ п/п</w:t>
            </w:r>
          </w:p>
        </w:tc>
        <w:tc>
          <w:tcPr>
            <w:tcW w:w="2422" w:type="dxa"/>
            <w:vMerge w:val="restart"/>
            <w:vAlign w:val="center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955DE2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955DE2" w:rsidRPr="00955DE2" w:rsidRDefault="00955DE2" w:rsidP="009B1B88">
            <w:pPr>
              <w:jc w:val="center"/>
              <w:rPr>
                <w:rFonts w:ascii="Times New Roman" w:hAnsi="Times New Roman"/>
                <w:sz w:val="20"/>
              </w:rPr>
            </w:pPr>
            <w:r w:rsidRPr="00955DE2">
              <w:rPr>
                <w:rFonts w:ascii="Times New Roman" w:hAnsi="Times New Roman"/>
                <w:sz w:val="20"/>
              </w:rPr>
              <w:t>Количество маршрутов</w:t>
            </w:r>
          </w:p>
        </w:tc>
        <w:tc>
          <w:tcPr>
            <w:tcW w:w="2835" w:type="dxa"/>
            <w:gridSpan w:val="3"/>
          </w:tcPr>
          <w:p w:rsidR="00955DE2" w:rsidRPr="00955DE2" w:rsidRDefault="00955DE2" w:rsidP="000A15FC">
            <w:pPr>
              <w:jc w:val="center"/>
              <w:rPr>
                <w:rFonts w:ascii="Times New Roman" w:hAnsi="Times New Roman"/>
                <w:sz w:val="20"/>
              </w:rPr>
            </w:pPr>
            <w:r w:rsidRPr="00955DE2">
              <w:rPr>
                <w:rFonts w:ascii="Times New Roman" w:hAnsi="Times New Roman"/>
                <w:sz w:val="20"/>
              </w:rPr>
              <w:t>Количество автобусов по классам, ед.</w:t>
            </w:r>
          </w:p>
        </w:tc>
        <w:tc>
          <w:tcPr>
            <w:tcW w:w="992" w:type="dxa"/>
            <w:vMerge w:val="restart"/>
          </w:tcPr>
          <w:p w:rsidR="00955DE2" w:rsidRPr="00955DE2" w:rsidRDefault="00955DE2" w:rsidP="000A15FC">
            <w:pPr>
              <w:jc w:val="center"/>
              <w:rPr>
                <w:rFonts w:ascii="Times New Roman" w:hAnsi="Times New Roman"/>
                <w:sz w:val="20"/>
              </w:rPr>
            </w:pPr>
            <w:r w:rsidRPr="00955DE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528" w:type="dxa"/>
            <w:gridSpan w:val="3"/>
          </w:tcPr>
          <w:p w:rsidR="00955DE2" w:rsidRPr="00955DE2" w:rsidRDefault="00955DE2" w:rsidP="000A15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955DE2" w:rsidRPr="00955DE2" w:rsidRDefault="00955DE2" w:rsidP="000A15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транспортных средств до</w:t>
            </w:r>
          </w:p>
        </w:tc>
      </w:tr>
      <w:tr w:rsidR="002C2C51" w:rsidRPr="008C4F77" w:rsidTr="002C2C51">
        <w:trPr>
          <w:trHeight w:val="395"/>
        </w:trPr>
        <w:tc>
          <w:tcPr>
            <w:tcW w:w="550" w:type="dxa"/>
            <w:vMerge/>
            <w:vAlign w:val="center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center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955DE2">
              <w:rPr>
                <w:rStyle w:val="fontstyle01"/>
                <w:b w:val="0"/>
                <w:sz w:val="20"/>
                <w:szCs w:val="20"/>
              </w:rPr>
              <w:t xml:space="preserve">Большой </w:t>
            </w:r>
          </w:p>
        </w:tc>
        <w:tc>
          <w:tcPr>
            <w:tcW w:w="992" w:type="dxa"/>
            <w:vMerge w:val="restart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955DE2">
              <w:rPr>
                <w:rStyle w:val="fontstyle01"/>
                <w:b w:val="0"/>
                <w:sz w:val="20"/>
                <w:szCs w:val="20"/>
              </w:rPr>
              <w:t>Средний</w:t>
            </w:r>
          </w:p>
        </w:tc>
        <w:tc>
          <w:tcPr>
            <w:tcW w:w="851" w:type="dxa"/>
            <w:vMerge w:val="restart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955DE2">
              <w:rPr>
                <w:rStyle w:val="fontstyle01"/>
                <w:b w:val="0"/>
                <w:sz w:val="20"/>
                <w:szCs w:val="20"/>
              </w:rPr>
              <w:t>Малый</w:t>
            </w:r>
          </w:p>
        </w:tc>
        <w:tc>
          <w:tcPr>
            <w:tcW w:w="992" w:type="dxa"/>
            <w:vMerge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Специальный казначейский кредит</w:t>
            </w:r>
          </w:p>
        </w:tc>
        <w:tc>
          <w:tcPr>
            <w:tcW w:w="1701" w:type="dxa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Средств консолидированного бюджета</w:t>
            </w:r>
          </w:p>
        </w:tc>
        <w:tc>
          <w:tcPr>
            <w:tcW w:w="2126" w:type="dxa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vMerge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</w:tr>
      <w:tr w:rsidR="002C2C51" w:rsidRPr="008C4F77" w:rsidTr="002C2C51">
        <w:tc>
          <w:tcPr>
            <w:tcW w:w="550" w:type="dxa"/>
            <w:vMerge/>
            <w:vAlign w:val="center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center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rFonts w:hint="eastAsia"/>
                <w:b w:val="0"/>
                <w:sz w:val="20"/>
                <w:szCs w:val="20"/>
              </w:rPr>
              <w:t>м</w:t>
            </w:r>
            <w:r w:rsidRPr="00955DE2">
              <w:rPr>
                <w:rStyle w:val="fontstyle01"/>
                <w:b w:val="0"/>
                <w:sz w:val="20"/>
                <w:szCs w:val="20"/>
              </w:rPr>
              <w:t>лн рублей</w:t>
            </w:r>
          </w:p>
        </w:tc>
        <w:tc>
          <w:tcPr>
            <w:tcW w:w="1701" w:type="dxa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rFonts w:hint="eastAsia"/>
                <w:b w:val="0"/>
                <w:sz w:val="20"/>
                <w:szCs w:val="20"/>
              </w:rPr>
              <w:t>м</w:t>
            </w:r>
            <w:r w:rsidRPr="00955DE2">
              <w:rPr>
                <w:rStyle w:val="fontstyle01"/>
                <w:b w:val="0"/>
                <w:sz w:val="20"/>
                <w:szCs w:val="20"/>
              </w:rPr>
              <w:t>лн рублей</w:t>
            </w:r>
          </w:p>
        </w:tc>
        <w:tc>
          <w:tcPr>
            <w:tcW w:w="1701" w:type="dxa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rFonts w:hint="eastAsia"/>
                <w:b w:val="0"/>
                <w:sz w:val="20"/>
                <w:szCs w:val="20"/>
              </w:rPr>
              <w:t>м</w:t>
            </w:r>
            <w:r w:rsidRPr="00955DE2">
              <w:rPr>
                <w:rStyle w:val="fontstyle01"/>
                <w:b w:val="0"/>
                <w:sz w:val="20"/>
                <w:szCs w:val="20"/>
              </w:rPr>
              <w:t>лн рублей</w:t>
            </w:r>
          </w:p>
        </w:tc>
        <w:tc>
          <w:tcPr>
            <w:tcW w:w="2126" w:type="dxa"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rFonts w:hint="eastAsia"/>
                <w:b w:val="0"/>
                <w:sz w:val="20"/>
                <w:szCs w:val="20"/>
              </w:rPr>
              <w:t>м</w:t>
            </w:r>
            <w:r w:rsidRPr="00955DE2">
              <w:rPr>
                <w:rStyle w:val="fontstyle01"/>
                <w:b w:val="0"/>
                <w:sz w:val="20"/>
                <w:szCs w:val="20"/>
              </w:rPr>
              <w:t>лн рублей</w:t>
            </w:r>
          </w:p>
        </w:tc>
        <w:tc>
          <w:tcPr>
            <w:tcW w:w="1560" w:type="dxa"/>
            <w:vMerge/>
          </w:tcPr>
          <w:p w:rsidR="00955DE2" w:rsidRPr="00955DE2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</w:p>
        </w:tc>
      </w:tr>
    </w:tbl>
    <w:p w:rsidR="009B1B88" w:rsidRPr="008C4F77" w:rsidRDefault="009B1B88" w:rsidP="009B1B88">
      <w:pPr>
        <w:spacing w:after="80" w:line="240" w:lineRule="auto"/>
        <w:rPr>
          <w:sz w:val="2"/>
          <w:szCs w:val="2"/>
        </w:rPr>
      </w:pPr>
    </w:p>
    <w:tbl>
      <w:tblPr>
        <w:tblStyle w:val="af0"/>
        <w:tblW w:w="15163" w:type="dxa"/>
        <w:tblLayout w:type="fixed"/>
        <w:tblLook w:val="04A0" w:firstRow="1" w:lastRow="0" w:firstColumn="1" w:lastColumn="0" w:noHBand="0" w:noVBand="1"/>
      </w:tblPr>
      <w:tblGrid>
        <w:gridCol w:w="550"/>
        <w:gridCol w:w="2422"/>
        <w:gridCol w:w="1276"/>
        <w:gridCol w:w="992"/>
        <w:gridCol w:w="992"/>
        <w:gridCol w:w="851"/>
        <w:gridCol w:w="992"/>
        <w:gridCol w:w="1701"/>
        <w:gridCol w:w="1701"/>
        <w:gridCol w:w="2126"/>
        <w:gridCol w:w="1560"/>
      </w:tblGrid>
      <w:tr w:rsidR="00955DE2" w:rsidRPr="008C4F77" w:rsidTr="002C2C51">
        <w:trPr>
          <w:tblHeader/>
        </w:trPr>
        <w:tc>
          <w:tcPr>
            <w:tcW w:w="550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</w:t>
            </w:r>
          </w:p>
        </w:tc>
        <w:tc>
          <w:tcPr>
            <w:tcW w:w="2422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955DE2" w:rsidRPr="008C4F77" w:rsidRDefault="00955DE2" w:rsidP="000A15FC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11</w:t>
            </w:r>
          </w:p>
        </w:tc>
      </w:tr>
      <w:tr w:rsidR="00024461" w:rsidRPr="008C4F77" w:rsidTr="00C00B3C">
        <w:trPr>
          <w:trHeight w:val="1547"/>
        </w:trPr>
        <w:tc>
          <w:tcPr>
            <w:tcW w:w="550" w:type="dxa"/>
            <w:vAlign w:val="center"/>
          </w:tcPr>
          <w:p w:rsidR="00024461" w:rsidRPr="008C4F77" w:rsidRDefault="00024461" w:rsidP="00024461">
            <w:pPr>
              <w:jc w:val="center"/>
              <w:rPr>
                <w:rStyle w:val="fontstyle01"/>
                <w:b w:val="0"/>
                <w:sz w:val="20"/>
                <w:szCs w:val="20"/>
              </w:rPr>
            </w:pPr>
            <w:r w:rsidRPr="008C4F77">
              <w:rPr>
                <w:rStyle w:val="fontstyle01"/>
                <w:b w:val="0"/>
                <w:sz w:val="20"/>
                <w:szCs w:val="20"/>
              </w:rPr>
              <w:t>1.</w:t>
            </w:r>
          </w:p>
        </w:tc>
        <w:tc>
          <w:tcPr>
            <w:tcW w:w="242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Приобретение подвижного состава пассажирского транспорта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</w:t>
            </w:r>
            <w:r w:rsidRPr="00B27FE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 Камчатского края</w:t>
            </w:r>
            <w:r w:rsidR="00D176E6">
              <w:rPr>
                <w:rFonts w:ascii="Times New Roman" w:hAnsi="Times New Roman"/>
                <w:sz w:val="20"/>
              </w:rPr>
              <w:t xml:space="preserve"> в пределах лимитов</w:t>
            </w:r>
          </w:p>
        </w:tc>
        <w:tc>
          <w:tcPr>
            <w:tcW w:w="1276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99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16,400</w:t>
            </w:r>
          </w:p>
        </w:tc>
        <w:tc>
          <w:tcPr>
            <w:tcW w:w="1701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16,400</w:t>
            </w:r>
          </w:p>
        </w:tc>
        <w:tc>
          <w:tcPr>
            <w:tcW w:w="1701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2126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1560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 </w:t>
            </w:r>
          </w:p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B27FE9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B27FE9">
              <w:rPr>
                <w:rFonts w:ascii="Times New Roman" w:hAnsi="Times New Roman"/>
                <w:sz w:val="20"/>
              </w:rPr>
              <w:t>.2024</w:t>
            </w:r>
          </w:p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24461" w:rsidRPr="008C4F77" w:rsidTr="002C2C51">
        <w:tc>
          <w:tcPr>
            <w:tcW w:w="550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2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D9344B">
              <w:rPr>
                <w:rFonts w:ascii="Times New Roman" w:hAnsi="Times New Roman"/>
                <w:sz w:val="20"/>
              </w:rPr>
              <w:t>Приобретение подвижного состава пассажирского транспорта общего пользования для Петропавловск-Камчатского городского округа в рамках лимитов</w:t>
            </w:r>
            <w:r w:rsidRPr="002C22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147,500</w:t>
            </w:r>
          </w:p>
        </w:tc>
        <w:tc>
          <w:tcPr>
            <w:tcW w:w="1701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147,500</w:t>
            </w:r>
          </w:p>
        </w:tc>
        <w:tc>
          <w:tcPr>
            <w:tcW w:w="1701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B27FE9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B27FE9">
              <w:rPr>
                <w:rFonts w:ascii="Times New Roman" w:hAnsi="Times New Roman"/>
                <w:sz w:val="20"/>
              </w:rPr>
              <w:t>.2024</w:t>
            </w:r>
          </w:p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4461" w:rsidRPr="008C4F77" w:rsidTr="002C2C51">
        <w:tc>
          <w:tcPr>
            <w:tcW w:w="550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2422" w:type="dxa"/>
            <w:vAlign w:val="center"/>
          </w:tcPr>
          <w:p w:rsidR="00024461" w:rsidRPr="002C2234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2C2234">
              <w:rPr>
                <w:rFonts w:ascii="Times New Roman" w:hAnsi="Times New Roman"/>
                <w:sz w:val="20"/>
              </w:rPr>
              <w:t>Приобретение подвижного состава пассажирского</w:t>
            </w:r>
          </w:p>
          <w:p w:rsidR="00024461" w:rsidRPr="002C2234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2C2234">
              <w:rPr>
                <w:rFonts w:ascii="Times New Roman" w:hAnsi="Times New Roman"/>
                <w:sz w:val="20"/>
              </w:rPr>
              <w:t xml:space="preserve">транспорта общего пользования для </w:t>
            </w:r>
            <w:proofErr w:type="spellStart"/>
            <w:r w:rsidRPr="002C2234">
              <w:rPr>
                <w:rFonts w:ascii="Times New Roman" w:hAnsi="Times New Roman"/>
                <w:sz w:val="20"/>
              </w:rPr>
              <w:t>Елизовского</w:t>
            </w:r>
            <w:proofErr w:type="spellEnd"/>
          </w:p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2C2234"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  <w:tc>
          <w:tcPr>
            <w:tcW w:w="1276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27,110</w:t>
            </w:r>
          </w:p>
        </w:tc>
        <w:tc>
          <w:tcPr>
            <w:tcW w:w="1701" w:type="dxa"/>
            <w:vAlign w:val="center"/>
          </w:tcPr>
          <w:p w:rsidR="00024461" w:rsidRPr="00637E28" w:rsidRDefault="00024461" w:rsidP="0002446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27,110</w:t>
            </w:r>
          </w:p>
        </w:tc>
        <w:tc>
          <w:tcPr>
            <w:tcW w:w="1701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31.03.2024</w:t>
            </w:r>
          </w:p>
        </w:tc>
      </w:tr>
      <w:tr w:rsidR="00024461" w:rsidRPr="008C4F77" w:rsidTr="00B918A0">
        <w:tc>
          <w:tcPr>
            <w:tcW w:w="550" w:type="dxa"/>
            <w:vAlign w:val="center"/>
          </w:tcPr>
          <w:p w:rsidR="00024461" w:rsidRPr="00B27FE9" w:rsidRDefault="00637E28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22" w:type="dxa"/>
            <w:vAlign w:val="center"/>
          </w:tcPr>
          <w:p w:rsidR="00024461" w:rsidRPr="002C2234" w:rsidRDefault="00C00B3C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191,010</w:t>
            </w:r>
          </w:p>
        </w:tc>
        <w:tc>
          <w:tcPr>
            <w:tcW w:w="1701" w:type="dxa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191,010</w:t>
            </w:r>
          </w:p>
        </w:tc>
        <w:tc>
          <w:tcPr>
            <w:tcW w:w="1701" w:type="dxa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024461" w:rsidRPr="00B27FE9" w:rsidRDefault="00024461" w:rsidP="00024461">
            <w:pPr>
              <w:jc w:val="center"/>
              <w:rPr>
                <w:rFonts w:ascii="Times New Roman" w:hAnsi="Times New Roman"/>
                <w:sz w:val="20"/>
              </w:rPr>
            </w:pPr>
            <w:r w:rsidRPr="00B27F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24461" w:rsidRDefault="00637E28" w:rsidP="00024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FD6370" w:rsidRDefault="00FD6370" w:rsidP="00FD6370">
      <w:pPr>
        <w:rPr>
          <w:rFonts w:ascii="Times New Roman" w:hAnsi="Times New Roman"/>
          <w:sz w:val="24"/>
        </w:rPr>
      </w:pPr>
    </w:p>
    <w:p w:rsidR="00FC7FDB" w:rsidRDefault="00637E28" w:rsidP="00B2106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sectPr w:rsidR="00FC7FDB" w:rsidSect="00B21062">
      <w:pgSz w:w="16838" w:h="11906" w:orient="landscape"/>
      <w:pgMar w:top="851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18" w:rsidRDefault="00273C18" w:rsidP="00FD6370">
      <w:pPr>
        <w:spacing w:after="0" w:line="240" w:lineRule="auto"/>
      </w:pPr>
      <w:r>
        <w:separator/>
      </w:r>
    </w:p>
  </w:endnote>
  <w:endnote w:type="continuationSeparator" w:id="0">
    <w:p w:rsidR="00273C18" w:rsidRDefault="00273C18" w:rsidP="00FD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18" w:rsidRDefault="00273C18" w:rsidP="00FD6370">
      <w:pPr>
        <w:spacing w:after="0" w:line="240" w:lineRule="auto"/>
      </w:pPr>
      <w:r>
        <w:separator/>
      </w:r>
    </w:p>
  </w:footnote>
  <w:footnote w:type="continuationSeparator" w:id="0">
    <w:p w:rsidR="00273C18" w:rsidRDefault="00273C18" w:rsidP="00FD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73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D6370" w:rsidRPr="00FD6370" w:rsidRDefault="00FD637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D6370">
          <w:rPr>
            <w:rFonts w:ascii="Times New Roman" w:hAnsi="Times New Roman"/>
            <w:sz w:val="28"/>
            <w:szCs w:val="28"/>
          </w:rPr>
          <w:fldChar w:fldCharType="begin"/>
        </w:r>
        <w:r w:rsidRPr="00FD637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D6370">
          <w:rPr>
            <w:rFonts w:ascii="Times New Roman" w:hAnsi="Times New Roman"/>
            <w:sz w:val="28"/>
            <w:szCs w:val="28"/>
          </w:rPr>
          <w:fldChar w:fldCharType="separate"/>
        </w:r>
        <w:r w:rsidR="00B21062">
          <w:rPr>
            <w:rFonts w:ascii="Times New Roman" w:hAnsi="Times New Roman"/>
            <w:noProof/>
            <w:sz w:val="28"/>
            <w:szCs w:val="28"/>
          </w:rPr>
          <w:t>2</w:t>
        </w:r>
        <w:r w:rsidRPr="00FD637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D6370" w:rsidRDefault="00FD63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7A91"/>
    <w:multiLevelType w:val="hybridMultilevel"/>
    <w:tmpl w:val="AD8C7478"/>
    <w:lvl w:ilvl="0" w:tplc="623AABC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24461"/>
    <w:rsid w:val="0003500C"/>
    <w:rsid w:val="00061DE0"/>
    <w:rsid w:val="0008226F"/>
    <w:rsid w:val="001304DF"/>
    <w:rsid w:val="00145E70"/>
    <w:rsid w:val="001608B0"/>
    <w:rsid w:val="001A31E8"/>
    <w:rsid w:val="001C7975"/>
    <w:rsid w:val="00273C18"/>
    <w:rsid w:val="002B3BBB"/>
    <w:rsid w:val="002C2C51"/>
    <w:rsid w:val="0033033F"/>
    <w:rsid w:val="003353C9"/>
    <w:rsid w:val="00356960"/>
    <w:rsid w:val="003570F1"/>
    <w:rsid w:val="00380B15"/>
    <w:rsid w:val="003C387C"/>
    <w:rsid w:val="003D755B"/>
    <w:rsid w:val="00405498"/>
    <w:rsid w:val="00516D51"/>
    <w:rsid w:val="00525CF6"/>
    <w:rsid w:val="0052650C"/>
    <w:rsid w:val="00591145"/>
    <w:rsid w:val="005E776D"/>
    <w:rsid w:val="00637E28"/>
    <w:rsid w:val="00676D78"/>
    <w:rsid w:val="006E6528"/>
    <w:rsid w:val="007446A6"/>
    <w:rsid w:val="007C11EC"/>
    <w:rsid w:val="007D391F"/>
    <w:rsid w:val="00802CBA"/>
    <w:rsid w:val="00803BCC"/>
    <w:rsid w:val="00804E87"/>
    <w:rsid w:val="00887F34"/>
    <w:rsid w:val="008C4F77"/>
    <w:rsid w:val="00936367"/>
    <w:rsid w:val="00955DE2"/>
    <w:rsid w:val="00955F1D"/>
    <w:rsid w:val="00985080"/>
    <w:rsid w:val="00993C81"/>
    <w:rsid w:val="009B1B88"/>
    <w:rsid w:val="009D525D"/>
    <w:rsid w:val="00A0129C"/>
    <w:rsid w:val="00B21062"/>
    <w:rsid w:val="00BB62F0"/>
    <w:rsid w:val="00C00B3C"/>
    <w:rsid w:val="00C4049F"/>
    <w:rsid w:val="00C47902"/>
    <w:rsid w:val="00C64132"/>
    <w:rsid w:val="00D176E6"/>
    <w:rsid w:val="00D51E46"/>
    <w:rsid w:val="00EB12A3"/>
    <w:rsid w:val="00EB516E"/>
    <w:rsid w:val="00EC62E2"/>
    <w:rsid w:val="00F20D5D"/>
    <w:rsid w:val="00FC7FDB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8D1F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EC62E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1">
    <w:name w:val="List Paragraph"/>
    <w:basedOn w:val="a"/>
    <w:uiPriority w:val="34"/>
    <w:qFormat/>
    <w:rsid w:val="006E6528"/>
    <w:pPr>
      <w:ind w:left="720"/>
      <w:contextualSpacing/>
    </w:pPr>
  </w:style>
  <w:style w:type="character" w:styleId="af2">
    <w:name w:val="line number"/>
    <w:basedOn w:val="a0"/>
    <w:uiPriority w:val="99"/>
    <w:semiHidden/>
    <w:unhideWhenUsed/>
    <w:rsid w:val="00C4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2211-B7D8-47C2-B7C5-3486D217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Уяган Лада Владимировна</dc:creator>
  <cp:lastModifiedBy>Долженкова Надежда Игоревна</cp:lastModifiedBy>
  <cp:revision>35</cp:revision>
  <dcterms:created xsi:type="dcterms:W3CDTF">2024-05-14T23:20:00Z</dcterms:created>
  <dcterms:modified xsi:type="dcterms:W3CDTF">2024-06-24T02:43:00Z</dcterms:modified>
</cp:coreProperties>
</file>