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32"/>
                <wp:lineTo x="20260" y="20332"/>
                <wp:lineTo x="20260"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7"/>
        <w:tblW w:w="9642"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642"/>
      </w:tblGrid>
      <w:tr>
        <w:trPr/>
        <w:tc>
          <w:tcPr>
            <w:tcW w:w="9642" w:type="dxa"/>
            <w:tcBorders>
              <w:top w:val="nil"/>
              <w:left w:val="nil"/>
              <w:bottom w:val="nil"/>
              <w:right w:val="nil"/>
            </w:tcBorders>
          </w:tcPr>
          <w:p>
            <w:pPr>
              <w:pStyle w:val="Normal"/>
              <w:numPr>
                <w:ilvl w:val="0"/>
                <w:numId w:val="0"/>
              </w:numPr>
              <w:spacing w:lineRule="auto" w:line="240" w:before="0" w:after="0"/>
              <w:ind w:hanging="0" w:left="0"/>
              <w:jc w:val="center"/>
              <w:outlineLvl w:val="0"/>
              <w:rPr>
                <w:rFonts w:ascii="Times New Roman" w:hAnsi="Times New Roman"/>
                <w:sz w:val="28"/>
                <w:szCs w:val="28"/>
              </w:rPr>
            </w:pPr>
            <w:r>
              <w:rPr>
                <w:rFonts w:eastAsia="Calibri" w:cs="Times New Roman" w:ascii="Times New Roman" w:hAnsi="Times New Roman"/>
                <w:b/>
                <w:color w:val="000000"/>
                <w:kern w:val="0"/>
                <w:sz w:val="28"/>
                <w:szCs w:val="20"/>
                <w:lang w:val="ru-RU" w:eastAsia="ru-RU" w:bidi="ar-SA"/>
              </w:rPr>
              <w:t xml:space="preserve">О внесении изменений в постановление Правительства Камчатского края </w:t>
            </w:r>
            <w:r>
              <w:rPr>
                <w:rFonts w:eastAsia="Times New Roman" w:cs="Times New Roman" w:ascii="Times New Roman" w:hAnsi="Times New Roman"/>
                <w:b/>
                <w:color w:val="000000"/>
                <w:kern w:val="0"/>
                <w:sz w:val="28"/>
                <w:szCs w:val="20"/>
                <w:lang w:val="ru-RU" w:eastAsia="ru-RU" w:bidi="ar-SA"/>
              </w:rPr>
              <w:t>от 07.06.2023 № 316-П «Об утверждении порядка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Внести в постановление Правительства Камчатского края </w:t>
      </w:r>
      <w:r>
        <w:rPr>
          <w:rFonts w:eastAsia="Times New Roman" w:cs="Times New Roman" w:ascii="Times New Roman" w:hAnsi="Times New Roman"/>
          <w:b w:val="false"/>
          <w:bCs w:val="false"/>
          <w:color w:val="000000"/>
          <w:kern w:val="0"/>
          <w:sz w:val="28"/>
          <w:szCs w:val="20"/>
          <w:lang w:val="ru-RU" w:eastAsia="ru-RU" w:bidi="ar-SA"/>
        </w:rPr>
        <w:t xml:space="preserve">от 07.06.2023 № 316-П «Об утверждении порядка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 </w:t>
      </w:r>
      <w:r>
        <w:rPr>
          <w:rFonts w:eastAsia="Times New Roman" w:cs="Times New Roman" w:ascii="Times New Roman" w:hAnsi="Times New Roman"/>
          <w:b w:val="false"/>
          <w:bCs w:val="false"/>
          <w:color w:val="000000"/>
          <w:kern w:val="0"/>
          <w:sz w:val="28"/>
          <w:szCs w:val="20"/>
          <w:lang w:val="ru-RU" w:eastAsia="ru-RU" w:bidi="ar-SA"/>
        </w:rPr>
        <w:t>следующие изменения:</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1) в наименовании слова «определения объема и предоставления в 2023 году» заменить словами «предоставления в 2024 году»;</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2) преамбулу изложить в следующей редакции:</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«В соответствии с пунктом 2 статьи 78</w:t>
      </w:r>
      <w:r>
        <w:rPr>
          <w:rFonts w:eastAsia="Times New Roman" w:cs="Times New Roman" w:ascii="Times New Roman" w:hAnsi="Times New Roman"/>
          <w:b w:val="false"/>
          <w:bCs w:val="false"/>
          <w:color w:val="000000"/>
          <w:kern w:val="0"/>
          <w:sz w:val="28"/>
          <w:szCs w:val="20"/>
          <w:vertAlign w:val="superscript"/>
          <w:lang w:val="ru-RU" w:eastAsia="ru-RU" w:bidi="ar-SA"/>
        </w:rPr>
        <w:t>1</w:t>
      </w:r>
      <w:r>
        <w:rPr>
          <w:rFonts w:eastAsia="Times New Roman" w:cs="Times New Roman" w:ascii="Times New Roman" w:hAnsi="Times New Roman"/>
          <w:b w:val="false"/>
          <w:bCs w:val="false"/>
          <w:color w:val="000000"/>
          <w:kern w:val="0"/>
          <w:sz w:val="28"/>
          <w:szCs w:val="20"/>
          <w:lang w:val="ru-RU" w:eastAsia="ru-RU" w:bidi="ar-SA"/>
        </w:rPr>
        <w:t>, подпунктом 1 пункта 2</w:t>
        <w:br/>
        <w:t>статьи 78</w:t>
      </w:r>
      <w:r>
        <w:rPr>
          <w:rFonts w:eastAsia="Times New Roman" w:cs="Times New Roman" w:ascii="Times New Roman" w:hAnsi="Times New Roman"/>
          <w:b w:val="false"/>
          <w:bCs w:val="false"/>
          <w:color w:val="000000"/>
          <w:kern w:val="0"/>
          <w:sz w:val="28"/>
          <w:szCs w:val="20"/>
          <w:vertAlign w:val="superscript"/>
          <w:lang w:val="ru-RU" w:eastAsia="ru-RU" w:bidi="ar-SA"/>
        </w:rPr>
        <w:t>5</w:t>
      </w:r>
      <w:r>
        <w:rPr>
          <w:rFonts w:eastAsia="Times New Roman" w:cs="Times New Roman" w:ascii="Times New Roman" w:hAnsi="Times New Roman"/>
          <w:b w:val="false"/>
          <w:bCs w:val="false"/>
          <w:color w:val="000000"/>
          <w:kern w:val="0"/>
          <w:sz w:val="28"/>
          <w:szCs w:val="20"/>
          <w:lang w:val="ru-RU" w:eastAsia="ru-RU" w:bidi="ar-SA"/>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3) в части первой слова «определения объема и предоставления в 2023 году» заменить словами «предоставления в 2024 году»;</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4) приложение к постановлению изложить в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Установить, что предоставление отчетности, осуществление контроля</w:t>
        <w:br/>
        <w:t>(мониторинга) за соблюдением условий и порядка предоставления субсидий и</w:t>
        <w:br/>
        <w:t>применение ответственности за их нарушение в отношении субсидий,</w:t>
        <w:br/>
        <w:t xml:space="preserve">предоставленных в соответствии с </w:t>
      </w:r>
      <w:r>
        <w:rPr>
          <w:rFonts w:ascii="Times New Roman" w:hAnsi="Times New Roman"/>
          <w:sz w:val="28"/>
          <w:szCs w:val="28"/>
        </w:rPr>
        <w:t>П</w:t>
      </w:r>
      <w:r>
        <w:rPr>
          <w:rFonts w:eastAsia="Times New Roman" w:cs="Times New Roman" w:ascii="Times New Roman" w:hAnsi="Times New Roman"/>
          <w:b w:val="false"/>
          <w:bCs w:val="false"/>
          <w:color w:val="000000"/>
          <w:kern w:val="0"/>
          <w:sz w:val="28"/>
          <w:szCs w:val="20"/>
          <w:lang w:val="ru-RU" w:eastAsia="ru-RU" w:bidi="ar-SA"/>
        </w:rPr>
        <w:t>орядк</w:t>
      </w:r>
      <w:r>
        <w:rPr>
          <w:rFonts w:eastAsia="Times New Roman" w:cs="Times New Roman" w:ascii="Times New Roman" w:hAnsi="Times New Roman"/>
          <w:b w:val="false"/>
          <w:bCs w:val="false"/>
          <w:color w:val="000000"/>
          <w:kern w:val="0"/>
          <w:sz w:val="28"/>
          <w:szCs w:val="20"/>
          <w:lang w:val="ru-RU" w:eastAsia="ru-RU" w:bidi="ar-SA"/>
        </w:rPr>
        <w:t>ом</w:t>
      </w:r>
      <w:r>
        <w:rPr>
          <w:rFonts w:eastAsia="Times New Roman" w:cs="Times New Roman" w:ascii="Times New Roman" w:hAnsi="Times New Roman"/>
          <w:b w:val="false"/>
          <w:bCs w:val="false"/>
          <w:color w:val="000000"/>
          <w:kern w:val="0"/>
          <w:sz w:val="28"/>
          <w:szCs w:val="20"/>
          <w:lang w:val="ru-RU" w:eastAsia="ru-RU" w:bidi="ar-SA"/>
        </w:rPr>
        <w:t xml:space="preserve">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 </w:t>
      </w:r>
      <w:r>
        <w:rPr>
          <w:rFonts w:eastAsia="Times New Roman" w:cs="Times New Roman" w:ascii="Times New Roman" w:hAnsi="Times New Roman"/>
          <w:b w:val="false"/>
          <w:bCs w:val="false"/>
          <w:color w:val="000000"/>
          <w:kern w:val="0"/>
          <w:sz w:val="28"/>
          <w:szCs w:val="20"/>
          <w:lang w:val="ru-RU" w:eastAsia="ru-RU" w:bidi="ar-SA"/>
        </w:rPr>
        <w:t xml:space="preserve">утвержденным постановлением Правительства Камчатского края от 07.06.2023 № 316-П </w:t>
      </w:r>
      <w:r>
        <w:rPr>
          <w:rFonts w:ascii="Times New Roman" w:hAnsi="Times New Roman"/>
          <w:sz w:val="28"/>
          <w:szCs w:val="28"/>
        </w:rPr>
        <w:t>(в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w:t>
        <w:br/>
        <w:t>постановления).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42"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32"/>
        <w:gridCol w:w="2532"/>
      </w:tblGrid>
      <w:tr>
        <w:trPr>
          <w:trHeight w:val="1252" w:hRule="atLeast"/>
        </w:trPr>
        <w:tc>
          <w:tcPr>
            <w:tcW w:w="3578" w:type="dxa"/>
            <w:tcBorders/>
            <w:shd w:color="auto" w:fill="auto" w:val="clear"/>
          </w:tcPr>
          <w:p>
            <w:pPr>
              <w:pStyle w:val="Normal"/>
              <w:widowControl w:val="false"/>
              <w:spacing w:lineRule="auto" w:line="240" w:before="0" w:after="0"/>
              <w:ind w:left="30" w:right="27"/>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tc>
        <w:tc>
          <w:tcPr>
            <w:tcW w:w="3532" w:type="dxa"/>
            <w:tcBorders/>
            <w:shd w:color="auto" w:fill="auto" w:val="clear"/>
          </w:tcPr>
          <w:p>
            <w:pPr>
              <w:pStyle w:val="Normal"/>
              <w:widowControl w:val="false"/>
              <w:spacing w:lineRule="auto" w:line="240" w:before="0" w:after="0"/>
              <w:ind w:hanging="3" w:left="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hanging="142" w:left="142"/>
              <w:rPr>
                <w:rFonts w:ascii="Times New Roman" w:hAnsi="Times New Roman"/>
                <w:sz w:val="24"/>
              </w:rPr>
            </w:pPr>
            <w:r>
              <w:rPr>
                <w:rFonts w:ascii="Times New Roman" w:hAnsi="Times New Roman"/>
                <w:sz w:val="24"/>
              </w:rPr>
            </w:r>
          </w:p>
        </w:tc>
        <w:tc>
          <w:tcPr>
            <w:tcW w:w="2532" w:type="dxa"/>
            <w:tcBorders/>
            <w:shd w:color="auto" w:fill="auto" w:val="clear"/>
          </w:tcPr>
          <w:p>
            <w:pPr>
              <w:pStyle w:val="Normal"/>
              <w:widowControl w:val="false"/>
              <w:spacing w:lineRule="auto" w:line="240" w:before="0" w:after="0"/>
              <w:ind w:right="135"/>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40"/>
        <w:jc w:val="center"/>
        <w:rPr>
          <w:rFonts w:ascii="Times New Roman" w:hAnsi="Times New Roman"/>
          <w:sz w:val="28"/>
          <w:szCs w:val="28"/>
        </w:rPr>
      </w:pPr>
      <w:r>
        <w:rPr>
          <w:rFonts w:ascii="Times New Roman" w:hAnsi="Times New Roman"/>
          <w:sz w:val="28"/>
          <w:szCs w:val="28"/>
        </w:rPr>
      </w:r>
      <w:r>
        <w:br w:type="page"/>
      </w:r>
    </w:p>
    <w:tbl>
      <w:tblPr>
        <w:tblStyle w:val="af7"/>
        <w:tblW w:w="97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79"/>
        <w:gridCol w:w="476"/>
        <w:gridCol w:w="475"/>
        <w:gridCol w:w="3673"/>
        <w:gridCol w:w="480"/>
        <w:gridCol w:w="1927"/>
        <w:gridCol w:w="488"/>
        <w:gridCol w:w="1781"/>
      </w:tblGrid>
      <w:tr>
        <w:trPr/>
        <w:tc>
          <w:tcPr>
            <w:tcW w:w="479"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 xml:space="preserve">Приложение </w:t>
            </w:r>
            <w:bookmarkStart w:id="2" w:name="_GoBack_Копия_1"/>
            <w:bookmarkEnd w:id="2"/>
            <w:r>
              <w:rPr>
                <w:rFonts w:eastAsia="Times New Roman" w:cs="Times New Roman" w:ascii="Times New Roman" w:hAnsi="Times New Roman"/>
                <w:color w:val="000000"/>
                <w:kern w:val="0"/>
                <w:sz w:val="28"/>
                <w:szCs w:val="20"/>
                <w:lang w:val="ru-RU" w:eastAsia="ru-RU" w:bidi="ar-SA"/>
              </w:rPr>
              <w:t>к постановлению</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rPr>
            </w:pPr>
            <w:r>
              <w:rPr>
                <w:rFonts w:eastAsia="Times New Roman" w:cs="Times New Roman" w:ascii="Times New Roman" w:hAnsi="Times New Roman"/>
                <w:color w:val="000000"/>
                <w:kern w:val="0"/>
                <w:sz w:val="28"/>
                <w:szCs w:val="20"/>
                <w:lang w:val="ru-RU" w:eastAsia="ru-RU" w:bidi="ar-SA"/>
              </w:rPr>
              <w:t>от</w:t>
            </w:r>
          </w:p>
        </w:tc>
        <w:tc>
          <w:tcPr>
            <w:tcW w:w="192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color w:themeColor="background1" w:val="FFFFFF"/>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rPr>
            </w:pPr>
            <w:r>
              <w:rPr>
                <w:rFonts w:eastAsia="Times New Roman" w:cs="Times New Roman" w:ascii="Times New Roman" w:hAnsi="Times New Roman"/>
                <w:color w:val="000000"/>
                <w:kern w:val="0"/>
                <w:sz w:val="28"/>
                <w:szCs w:val="20"/>
                <w:lang w:val="ru-RU" w:eastAsia="ru-RU" w:bidi="ar-SA"/>
              </w:rPr>
              <w:t>№</w:t>
            </w:r>
          </w:p>
        </w:tc>
        <w:tc>
          <w:tcPr>
            <w:tcW w:w="178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color w:themeColor="background1" w:val="FFFFFF"/>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1927"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1781"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r>
      <w:tr>
        <w:trPr>
          <w:trHeight w:val="171" w:hRule="atLeast"/>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5"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3"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w:t>
            </w:r>
            <w:r>
              <w:rPr>
                <w:rFonts w:eastAsia="Times New Roman" w:cs="Times New Roman" w:ascii="Times New Roman" w:hAnsi="Times New Roman"/>
                <w:color w:val="000000"/>
                <w:kern w:val="0"/>
                <w:sz w:val="28"/>
                <w:szCs w:val="20"/>
                <w:lang w:val="ru-RU" w:eastAsia="ru-RU" w:bidi="ar-SA"/>
              </w:rPr>
              <w:t xml:space="preserve">т </w:t>
            </w:r>
            <w:r>
              <w:rPr>
                <w:rFonts w:eastAsia="Times New Roman" w:cs="Times New Roman" w:ascii="Times New Roman" w:hAnsi="Times New Roman"/>
                <w:color w:val="000000"/>
                <w:kern w:val="0"/>
                <w:sz w:val="28"/>
                <w:szCs w:val="20"/>
                <w:lang w:val="ru-RU" w:eastAsia="ru-RU" w:bidi="ar-SA"/>
              </w:rPr>
              <w:t>07.06.2023</w:t>
            </w:r>
            <w:r>
              <w:rPr>
                <w:rFonts w:eastAsia="Times New Roman" w:cs="Times New Roman" w:ascii="Times New Roman" w:hAnsi="Times New Roman"/>
                <w:color w:val="000000"/>
                <w:kern w:val="0"/>
                <w:sz w:val="28"/>
                <w:szCs w:val="20"/>
                <w:lang w:val="ru-RU" w:eastAsia="ru-RU" w:bidi="ar-SA"/>
              </w:rPr>
              <w:t xml:space="preserve"> № </w:t>
            </w:r>
            <w:r>
              <w:rPr>
                <w:rFonts w:eastAsia="Times New Roman" w:cs="Times New Roman" w:ascii="Times New Roman" w:hAnsi="Times New Roman"/>
                <w:color w:val="000000"/>
                <w:kern w:val="0"/>
                <w:sz w:val="28"/>
                <w:szCs w:val="20"/>
                <w:lang w:val="ru-RU" w:eastAsia="ru-RU" w:bidi="ar-SA"/>
              </w:rPr>
              <w:t>316</w:t>
            </w:r>
            <w:r>
              <w:rPr>
                <w:rFonts w:eastAsia="Times New Roman" w:cs="Times New Roman" w:ascii="Times New Roman" w:hAnsi="Times New Roman"/>
                <w:color w:val="000000"/>
                <w:kern w:val="0"/>
                <w:sz w:val="28"/>
                <w:szCs w:val="20"/>
                <w:lang w:val="ru-RU" w:eastAsia="ru-RU" w:bidi="ar-SA"/>
              </w:rPr>
              <w:t>-П</w:t>
            </w:r>
          </w:p>
        </w:tc>
      </w:tr>
    </w:tbl>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Порядок</w:t>
      </w:r>
    </w:p>
    <w:p>
      <w:pPr>
        <w:pStyle w:val="Normal"/>
        <w:spacing w:lineRule="auto" w:line="240" w:before="0" w:after="0"/>
        <w:jc w:val="center"/>
        <w:rPr>
          <w:sz w:val="28"/>
          <w:szCs w:val="28"/>
        </w:rPr>
      </w:pPr>
      <w:r>
        <w:rPr>
          <w:rFonts w:ascii="Times New Roman" w:hAnsi="Times New Roman"/>
          <w:sz w:val="28"/>
          <w:szCs w:val="28"/>
        </w:rPr>
        <w:t xml:space="preserve">предоставления в 2024 году  </w:t>
      </w:r>
      <w:r>
        <w:rPr>
          <w:rFonts w:eastAsia="Times New Roman" w:cs="Times New Roman" w:ascii="Times New Roman" w:hAnsi="Times New Roman"/>
          <w:b w:val="false"/>
          <w:bCs w:val="false"/>
          <w:color w:val="000000"/>
          <w:kern w:val="0"/>
          <w:sz w:val="28"/>
          <w:szCs w:val="20"/>
          <w:lang w:val="ru-RU" w:eastAsia="ru-RU" w:bidi="ar-SA"/>
        </w:rPr>
        <w:t>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37"/>
        <w:jc w:val="both"/>
        <w:rPr/>
      </w:pPr>
      <w:r>
        <w:rPr>
          <w:rFonts w:ascii="Times New Roman" w:hAnsi="Times New Roman"/>
          <w:sz w:val="28"/>
          <w:szCs w:val="28"/>
        </w:rPr>
        <w:t xml:space="preserve">1. Настоящий Порядок регулирует вопросы предоставления в 2024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(далее </w:t>
      </w:r>
      <w:r>
        <w:rPr>
          <w:rFonts w:ascii="Times New Roman" w:hAnsi="Times New Roman"/>
          <w:sz w:val="28"/>
        </w:rPr>
        <w:t>–</w:t>
      </w:r>
      <w:r>
        <w:rPr>
          <w:rFonts w:ascii="Times New Roman" w:hAnsi="Times New Roman"/>
          <w:sz w:val="28"/>
          <w:szCs w:val="28"/>
        </w:rPr>
        <w:t xml:space="preserve"> Получатель субсидии) на финансовое обеспечение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(далее – коренные малочисленные народы), изданной в том числе на национальных языках коренных малочисленных народов (далее – Субсидия), в целях достижения результатов </w:t>
      </w:r>
      <w:r>
        <w:rPr>
          <w:rFonts w:ascii="Times New Roman" w:hAnsi="Times New Roman"/>
          <w:sz w:val="28"/>
          <w:szCs w:val="28"/>
        </w:rPr>
        <w:t>комплекса процессных мероприятий</w:t>
      </w:r>
      <w:r>
        <w:rPr>
          <w:rFonts w:ascii="Times New Roman" w:hAnsi="Times New Roman"/>
          <w:sz w:val="28"/>
          <w:szCs w:val="28"/>
        </w:rPr>
        <w:t xml:space="preserve"> </w:t>
      </w:r>
      <w:r>
        <w:rPr>
          <w:rFonts w:ascii="Times New Roman" w:hAnsi="Times New Roman"/>
          <w:b w:val="false"/>
          <w:bCs w:val="false"/>
          <w:sz w:val="28"/>
          <w:szCs w:val="28"/>
          <w:lang w:val="ru-RU"/>
        </w:rPr>
        <w:t>«Поддержка сохранения и развития культуры и родных языков коренных малочисленных народов Севера, Сибири и Дальнего Востока Российской Федерации, проживающих в Камчатском крае</w:t>
      </w:r>
      <w:r>
        <w:rPr>
          <w:rFonts w:ascii="Times New Roman" w:hAnsi="Times New Roman"/>
          <w:sz w:val="28"/>
          <w:szCs w:val="28"/>
        </w:rPr>
        <w:t>» направления (подпрограммы) «Сохранение и развитие национальной культуры и родных языков коренных малочисленных народов Севера, Сибири и Дальнего Востока Российской Федерации, проживающих в Камчатском крае»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pPr>
        <w:pStyle w:val="Normal"/>
        <w:spacing w:lineRule="auto" w:line="240" w:before="0" w:after="0"/>
        <w:ind w:firstLine="737"/>
        <w:jc w:val="both"/>
        <w:rPr/>
      </w:pPr>
      <w:r>
        <w:rPr>
          <w:rFonts w:ascii="Times New Roman" w:hAnsi="Times New Roman"/>
          <w:sz w:val="28"/>
          <w:szCs w:val="28"/>
        </w:rPr>
        <w:t xml:space="preserve">2. Министерство развития гражданского общества Камчатского края (далее </w:t>
      </w:r>
      <w:r>
        <w:rPr>
          <w:rFonts w:ascii="Times New Roman" w:hAnsi="Times New Roman"/>
          <w:sz w:val="28"/>
        </w:rPr>
        <w:t>–</w:t>
      </w:r>
      <w:r>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Субсидия предоставляется в пределах лимитов бюджетных обязательств, доведенных в установленном порядке до Министерства.</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Способом предоставления Субсидии является финансовое обеспечение затрат.</w:t>
      </w:r>
    </w:p>
    <w:p>
      <w:pPr>
        <w:pStyle w:val="Normal"/>
        <w:spacing w:lineRule="auto" w:line="240" w:before="0" w:after="0"/>
        <w:ind w:firstLine="737"/>
        <w:jc w:val="both"/>
        <w:rPr/>
      </w:pPr>
      <w:r>
        <w:rPr>
          <w:rFonts w:ascii="Times New Roman" w:hAnsi="Times New Roman"/>
          <w:sz w:val="28"/>
          <w:szCs w:val="28"/>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 xml:space="preserve">4. Субсидия предоставляется в целях финансового обеспечения затрат, </w:t>
      </w:r>
      <w:r>
        <w:rPr>
          <w:rFonts w:ascii="Times New Roman" w:hAnsi="Times New Roman"/>
          <w:sz w:val="28"/>
          <w:szCs w:val="28"/>
        </w:rPr>
        <w:t xml:space="preserve">связанных с оплатой услуг типографии по изданию буклетов, </w:t>
      </w:r>
      <w:r>
        <w:rPr>
          <w:rFonts w:ascii="Times New Roman" w:hAnsi="Times New Roman"/>
          <w:sz w:val="28"/>
          <w:szCs w:val="28"/>
        </w:rPr>
        <w:t xml:space="preserve">посвященных культурным и историческим традициям коренных малочисленных народов. </w:t>
      </w:r>
    </w:p>
    <w:p>
      <w:pPr>
        <w:pStyle w:val="Normal"/>
        <w:spacing w:lineRule="auto" w:line="240" w:before="0" w:after="0"/>
        <w:ind w:firstLine="737"/>
        <w:jc w:val="both"/>
        <w:rPr/>
      </w:pPr>
      <w:r>
        <w:rPr>
          <w:rFonts w:ascii="Times New Roman" w:hAnsi="Times New Roman"/>
          <w:sz w:val="28"/>
          <w:szCs w:val="28"/>
        </w:rPr>
        <w:t xml:space="preserve">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w:t>
      </w:r>
      <w:r>
        <w:rPr>
          <w:rFonts w:ascii="Times New Roman" w:hAnsi="Times New Roman"/>
          <w:sz w:val="28"/>
        </w:rPr>
        <w:t>–</w:t>
      </w:r>
      <w:r>
        <w:rPr>
          <w:rFonts w:ascii="Times New Roman" w:hAnsi="Times New Roman"/>
          <w:sz w:val="28"/>
          <w:szCs w:val="28"/>
        </w:rPr>
        <w:t xml:space="preserve">  Соглашение), следующим требованиям:</w:t>
      </w:r>
    </w:p>
    <w:p>
      <w:pPr>
        <w:pStyle w:val="Normal"/>
        <w:spacing w:lineRule="auto" w:line="240" w:before="0" w:after="0"/>
        <w:ind w:firstLine="737"/>
        <w:jc w:val="both"/>
        <w:rPr/>
      </w:pPr>
      <w:r>
        <w:rPr>
          <w:rFonts w:ascii="Times New Roman" w:hAnsi="Times New Roman"/>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eastAsia="Times New Roman" w:cs="Times New Roman" w:ascii="Times New Roman" w:hAnsi="Times New Roman"/>
          <w:b w:val="false"/>
          <w:bCs w:val="false"/>
          <w:color w:val="000000"/>
          <w:kern w:val="0"/>
          <w:sz w:val="28"/>
          <w:szCs w:val="20"/>
          <w:lang w:val="ru-RU" w:eastAsia="ru-RU" w:bidi="ar-SA"/>
        </w:rPr>
        <w:t>–</w:t>
      </w:r>
      <w:r>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37"/>
        <w:jc w:val="both"/>
        <w:rPr/>
      </w:pPr>
      <w:r>
        <w:rPr>
          <w:rFonts w:ascii="Times New Roman" w:hAnsi="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4) Получатель субсидии не получает средства из бюджета Камчатского края на основании иных нормативных правовых актов Камчатского края на цели, установленные настоящим Порядком;</w:t>
      </w:r>
    </w:p>
    <w:p>
      <w:pPr>
        <w:pStyle w:val="Normal"/>
        <w:spacing w:lineRule="auto" w:line="240" w:before="0" w:after="0"/>
        <w:ind w:firstLine="737"/>
        <w:jc w:val="both"/>
        <w:rPr/>
      </w:pPr>
      <w:r>
        <w:rPr>
          <w:rFonts w:ascii="Times New Roman" w:hAnsi="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37"/>
        <w:jc w:val="both"/>
        <w:rPr/>
      </w:pPr>
      <w:r>
        <w:rPr>
          <w:rFonts w:ascii="Times New Roman" w:hAnsi="Times New Roman"/>
          <w:sz w:val="28"/>
          <w:szCs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737"/>
        <w:jc w:val="both"/>
        <w:rPr/>
      </w:pPr>
      <w:r>
        <w:rPr>
          <w:rFonts w:ascii="Times New Roman" w:hAnsi="Times New Roman"/>
          <w:sz w:val="28"/>
          <w:szCs w:val="28"/>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37"/>
        <w:jc w:val="both"/>
        <w:rPr/>
      </w:pPr>
      <w:r>
        <w:rPr>
          <w:rFonts w:ascii="Times New Roman" w:hAnsi="Times New Roman"/>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spacing w:lineRule="auto" w:line="240" w:before="0" w:after="0"/>
        <w:ind w:firstLine="737"/>
        <w:jc w:val="both"/>
        <w:rPr/>
      </w:pPr>
      <w:r>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6. Для получения Субсидии Получатель субсидии представляет в Министерство не позднее 1 </w:t>
      </w:r>
      <w:r>
        <w:rPr>
          <w:rFonts w:ascii="Times New Roman" w:hAnsi="Times New Roman"/>
          <w:sz w:val="28"/>
          <w:szCs w:val="28"/>
        </w:rPr>
        <w:t>августа</w:t>
      </w:r>
      <w:r>
        <w:rPr>
          <w:rFonts w:ascii="Times New Roman" w:hAnsi="Times New Roman"/>
          <w:sz w:val="28"/>
          <w:szCs w:val="28"/>
        </w:rPr>
        <w:t xml:space="preserve"> текущего финансового года следующие документы:</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заверенную копию устава;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смету по направлени</w:t>
      </w:r>
      <w:r>
        <w:rPr>
          <w:rFonts w:ascii="Times New Roman" w:hAnsi="Times New Roman"/>
          <w:sz w:val="28"/>
          <w:szCs w:val="28"/>
        </w:rPr>
        <w:t>ю</w:t>
      </w:r>
      <w:r>
        <w:rPr>
          <w:rFonts w:ascii="Times New Roman" w:hAnsi="Times New Roman"/>
          <w:sz w:val="28"/>
          <w:szCs w:val="28"/>
        </w:rPr>
        <w:t xml:space="preserve"> расходов, предусмотренных частью 4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Документы, указанные в части 6 настоящего Порядка, подлежат регистрации в день их поступления в Министерство.</w:t>
      </w:r>
    </w:p>
    <w:p>
      <w:pPr>
        <w:pStyle w:val="Default"/>
        <w:ind w:firstLine="709"/>
        <w:jc w:val="both"/>
        <w:rPr>
          <w:color w:val="auto"/>
          <w:sz w:val="28"/>
          <w:szCs w:val="28"/>
        </w:rPr>
      </w:pPr>
      <w:r>
        <w:rPr>
          <w:sz w:val="28"/>
          <w:szCs w:val="28"/>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pPr>
        <w:pStyle w:val="Default"/>
        <w:ind w:firstLine="709"/>
        <w:jc w:val="both"/>
        <w:rPr>
          <w:color w:val="auto"/>
          <w:sz w:val="28"/>
          <w:szCs w:val="28"/>
        </w:rPr>
      </w:pPr>
      <w:r>
        <w:rPr>
          <w:sz w:val="28"/>
          <w:szCs w:val="28"/>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pPr>
        <w:pStyle w:val="Default"/>
        <w:ind w:firstLine="709"/>
        <w:jc w:val="both"/>
        <w:rPr>
          <w:color w:val="auto"/>
          <w:sz w:val="28"/>
          <w:szCs w:val="28"/>
        </w:rPr>
      </w:pPr>
      <w:r>
        <w:rPr>
          <w:sz w:val="28"/>
          <w:szCs w:val="28"/>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Default"/>
        <w:ind w:firstLine="709"/>
        <w:jc w:val="both"/>
        <w:rPr>
          <w:color w:val="auto"/>
          <w:sz w:val="28"/>
          <w:szCs w:val="28"/>
        </w:rPr>
      </w:pPr>
      <w:r>
        <w:rPr>
          <w:sz w:val="28"/>
          <w:szCs w:val="28"/>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pPr>
        <w:pStyle w:val="Default"/>
        <w:ind w:firstLine="709"/>
        <w:jc w:val="both"/>
        <w:rPr>
          <w:sz w:val="28"/>
          <w:szCs w:val="28"/>
        </w:rPr>
      </w:pPr>
      <w:r>
        <w:rPr>
          <w:sz w:val="28"/>
          <w:szCs w:val="28"/>
        </w:rPr>
        <w:t xml:space="preserve">4) в соответствии с пунктами 4 и 7 части 5 настоящего Порядка </w:t>
      </w:r>
      <w:r>
        <w:rPr>
          <w:color w:val="auto"/>
          <w:sz w:val="28"/>
          <w:szCs w:val="28"/>
        </w:rPr>
        <w:t>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pPr>
        <w:pStyle w:val="Default"/>
        <w:ind w:firstLine="709"/>
        <w:jc w:val="both"/>
        <w:rPr>
          <w:sz w:val="28"/>
          <w:szCs w:val="28"/>
        </w:rPr>
      </w:pPr>
      <w:r>
        <w:rPr>
          <w:color w:val="auto"/>
          <w:sz w:val="28"/>
          <w:szCs w:val="28"/>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pPr>
        <w:pStyle w:val="Default"/>
        <w:ind w:firstLine="709"/>
        <w:jc w:val="both"/>
        <w:rPr>
          <w:sz w:val="28"/>
          <w:szCs w:val="28"/>
        </w:rPr>
      </w:pPr>
      <w:r>
        <w:rPr>
          <w:sz w:val="28"/>
          <w:szCs w:val="28"/>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pPr>
        <w:pStyle w:val="Default"/>
        <w:ind w:firstLine="709"/>
        <w:jc w:val="both"/>
        <w:rPr>
          <w:sz w:val="28"/>
          <w:szCs w:val="28"/>
        </w:rPr>
      </w:pPr>
      <w:r>
        <w:rPr>
          <w:color w:val="auto"/>
          <w:sz w:val="28"/>
          <w:szCs w:val="28"/>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pPr>
        <w:pStyle w:val="Default"/>
        <w:ind w:firstLine="709"/>
        <w:jc w:val="both"/>
        <w:rPr>
          <w:color w:val="auto"/>
          <w:sz w:val="28"/>
          <w:szCs w:val="28"/>
        </w:rPr>
      </w:pPr>
      <w:r>
        <w:rPr>
          <w:sz w:val="28"/>
          <w:szCs w:val="28"/>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Основаниями для отказа в предоставлении Субсидии являются: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несоответствие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установление факта недостоверности представленной Получателем субсидии информации.</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12. Отказ не препятствует повторной подаче документов после устранения Получателем субсидии причин отказа.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13. Субсидия предоставляется Получателю субсидии в размере, определенном Законом Камчатского края от 23.11.2023 № 300 «О краевом бюджете на 2024 год и на плановый период 2025 и 2026 годов»: в 2024 году – </w:t>
      </w:r>
      <w:r>
        <w:rPr>
          <w:rFonts w:ascii="Times New Roman" w:hAnsi="Times New Roman"/>
          <w:sz w:val="28"/>
          <w:szCs w:val="28"/>
        </w:rPr>
        <w:t>200 000</w:t>
      </w:r>
      <w:r>
        <w:rPr>
          <w:rFonts w:ascii="Times New Roman" w:hAnsi="Times New Roman"/>
          <w:sz w:val="28"/>
          <w:szCs w:val="28"/>
        </w:rPr>
        <w:t xml:space="preserve">,00 рублей </w:t>
      </w:r>
      <w:r>
        <w:rPr>
          <w:rFonts w:ascii="Times New Roman" w:hAnsi="Times New Roman"/>
          <w:sz w:val="28"/>
          <w:szCs w:val="28"/>
        </w:rPr>
        <w:t>за счет средств краевого бюджета</w:t>
      </w:r>
      <w:r>
        <w:rPr>
          <w:rFonts w:ascii="Times New Roman" w:hAnsi="Times New Roman"/>
          <w:sz w:val="28"/>
          <w:szCs w:val="28"/>
        </w:rPr>
        <w:t>.</w:t>
      </w:r>
    </w:p>
    <w:p>
      <w:pPr>
        <w:pStyle w:val="Normal"/>
        <w:tabs>
          <w:tab w:val="clear" w:pos="708"/>
          <w:tab w:val="left" w:pos="993" w:leader="none"/>
        </w:tabs>
        <w:spacing w:lineRule="auto" w:line="240" w:before="0" w:after="0"/>
        <w:ind w:firstLine="709"/>
        <w:contextualSpacing/>
        <w:jc w:val="both"/>
        <w:rPr>
          <w:rFonts w:asciiTheme="minorHAnsi" w:hAnsiTheme="minorHAnsi"/>
          <w:highlight w:val="none"/>
          <w:shd w:fill="auto" w:val="clear"/>
        </w:rPr>
      </w:pPr>
      <w:r>
        <w:rPr>
          <w:rFonts w:asciiTheme="minorHAnsi" w:hAnsiTheme="minorHAnsi" w:ascii="Times New Roman" w:hAnsi="Times New Roman"/>
          <w:sz w:val="28"/>
          <w:szCs w:val="28"/>
          <w:shd w:fill="auto" w:val="clear"/>
        </w:rPr>
        <w:t xml:space="preserve">14. Субсидия предоставляется на основании Соглашения. </w:t>
      </w:r>
      <w:r>
        <w:rPr>
          <w:rFonts w:asciiTheme="minorHAnsi" w:hAnsiTheme="minorHAnsi" w:ascii="Times New Roman" w:hAnsi="Times New Roman"/>
          <w:color w:val="000000"/>
          <w:sz w:val="28"/>
          <w:szCs w:val="28"/>
          <w:shd w:fill="auto" w:val="clear"/>
        </w:rPr>
        <w:t xml:space="preserve">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в соответствии с типовыми формами, установленными Министерством финансов </w:t>
      </w:r>
      <w:r>
        <w:rPr>
          <w:rFonts w:asciiTheme="minorHAnsi" w:hAnsiTheme="minorHAnsi" w:ascii="Times New Roman" w:hAnsi="Times New Roman"/>
          <w:color w:val="000000"/>
          <w:sz w:val="28"/>
          <w:szCs w:val="28"/>
          <w:shd w:fill="auto" w:val="clear"/>
        </w:rPr>
        <w:t>Камчатского края</w:t>
      </w:r>
      <w:r>
        <w:rPr>
          <w:rFonts w:asciiTheme="minorHAnsi" w:hAnsiTheme="minorHAnsi" w:ascii="Times New Roman" w:hAnsi="Times New Roman"/>
          <w:color w:val="000000"/>
          <w:sz w:val="28"/>
          <w:szCs w:val="28"/>
          <w:shd w:fill="auto" w:val="clear"/>
        </w:rPr>
        <w:t>.</w:t>
      </w:r>
    </w:p>
    <w:p>
      <w:pPr>
        <w:pStyle w:val="Normal"/>
        <w:tabs>
          <w:tab w:val="clear" w:pos="708"/>
          <w:tab w:val="left" w:pos="1134" w:leader="none"/>
        </w:tabs>
        <w:spacing w:lineRule="auto" w:line="240" w:before="0" w:after="0"/>
        <w:ind w:firstLine="709"/>
        <w:contextualSpacing/>
        <w:jc w:val="both"/>
        <w:rPr>
          <w:rFonts w:asciiTheme="minorHAnsi" w:hAnsiTheme="minorHAnsi"/>
          <w:highlight w:val="none"/>
          <w:shd w:fill="auto" w:val="clear"/>
        </w:rPr>
      </w:pPr>
      <w:r>
        <w:rPr>
          <w:rFonts w:asciiTheme="minorHAnsi" w:hAnsiTheme="minorHAnsi" w:ascii="Times New Roman" w:hAnsi="Times New Roman"/>
          <w:sz w:val="28"/>
          <w:szCs w:val="28"/>
          <w:shd w:fill="auto" w:val="clear"/>
        </w:rPr>
        <w:t xml:space="preserve">15. В случае принятия решения о предоставлении Субсидии Министерство в течение 10 рабочих дней со дня принятия такого решения направляет Получателю </w:t>
      </w:r>
      <w:r>
        <w:rPr>
          <w:rFonts w:asciiTheme="minorHAnsi" w:hAnsiTheme="minorHAnsi" w:ascii="Times New Roman" w:hAnsi="Times New Roman"/>
          <w:sz w:val="28"/>
          <w:szCs w:val="28"/>
          <w:shd w:fill="auto" w:val="clear"/>
        </w:rPr>
        <w:t>субсидии</w:t>
      </w:r>
      <w:r>
        <w:rPr>
          <w:rFonts w:asciiTheme="minorHAnsi" w:hAnsiTheme="minorHAnsi" w:ascii="Times New Roman" w:hAnsi="Times New Roman"/>
          <w:sz w:val="28"/>
          <w:szCs w:val="28"/>
          <w:shd w:fill="auto" w:val="clear"/>
        </w:rPr>
        <w:t xml:space="preserve"> посредством почтового отправления или на адрес электронной почты, или иным способом, обеспечивающим подтверждение получения </w:t>
      </w:r>
      <w:r>
        <w:rPr>
          <w:rFonts w:asciiTheme="minorHAnsi" w:hAnsiTheme="minorHAnsi" w:ascii="Times New Roman" w:hAnsi="Times New Roman"/>
          <w:sz w:val="28"/>
          <w:szCs w:val="28"/>
          <w:shd w:fill="auto" w:val="clear"/>
        </w:rPr>
        <w:t>Получателем субсидии</w:t>
      </w:r>
      <w:r>
        <w:rPr>
          <w:rFonts w:asciiTheme="minorHAnsi" w:hAnsiTheme="minorHAnsi" w:ascii="Times New Roman" w:hAnsi="Times New Roman"/>
          <w:sz w:val="28"/>
          <w:szCs w:val="28"/>
          <w:shd w:fill="auto" w:val="clear"/>
        </w:rPr>
        <w:t>, проект Соглашения в двух экземплярах для подписания.</w:t>
      </w:r>
    </w:p>
    <w:p>
      <w:pPr>
        <w:pStyle w:val="Normal"/>
        <w:tabs>
          <w:tab w:val="clear" w:pos="708"/>
          <w:tab w:val="left" w:pos="1134" w:leader="none"/>
        </w:tabs>
        <w:spacing w:lineRule="auto" w:line="240" w:before="0" w:after="0"/>
        <w:ind w:firstLine="709"/>
        <w:contextualSpacing/>
        <w:jc w:val="both"/>
        <w:rPr>
          <w:rFonts w:asciiTheme="minorHAnsi" w:hAnsiTheme="minorHAnsi"/>
          <w:highlight w:val="none"/>
          <w:shd w:fill="auto" w:val="clear"/>
        </w:rPr>
      </w:pPr>
      <w:r>
        <w:rPr>
          <w:rFonts w:asciiTheme="minorHAnsi" w:hAnsiTheme="minorHAnsi" w:ascii="Times New Roman" w:hAnsi="Times New Roman"/>
          <w:sz w:val="28"/>
          <w:szCs w:val="28"/>
          <w:shd w:fill="auto" w:val="clear"/>
        </w:rPr>
        <w:t xml:space="preserve">Получатель субсидии </w:t>
      </w:r>
      <w:r>
        <w:rPr>
          <w:rFonts w:asciiTheme="minorHAnsi" w:hAnsiTheme="minorHAnsi" w:ascii="Times New Roman" w:hAnsi="Times New Roman"/>
          <w:sz w:val="28"/>
          <w:szCs w:val="28"/>
          <w:shd w:fill="auto" w:val="clear"/>
        </w:rPr>
        <w:t xml:space="preserve">в течение 5 рабочих дней со дня получения проекта Соглашения </w:t>
      </w:r>
      <w:r>
        <w:rPr>
          <w:rFonts w:asciiTheme="minorHAnsi" w:hAnsiTheme="minorHAnsi" w:ascii="Times New Roman" w:hAnsi="Times New Roman"/>
          <w:sz w:val="28"/>
          <w:szCs w:val="28"/>
          <w:shd w:fill="auto" w:val="clear"/>
        </w:rPr>
        <w:t xml:space="preserve">подписывает и возвращает в Министерство посредством почтового отправления или нарочно два экземпляра проекта Соглашения. </w:t>
      </w:r>
    </w:p>
    <w:p>
      <w:pPr>
        <w:pStyle w:val="Normal"/>
        <w:widowControl/>
        <w:suppressAutoHyphens w:val="true"/>
        <w:bidi w:val="0"/>
        <w:spacing w:lineRule="auto" w:line="240" w:before="0" w:after="0"/>
        <w:ind w:firstLine="737" w:left="0" w:right="0"/>
        <w:jc w:val="both"/>
        <w:rPr/>
      </w:pPr>
      <w:r>
        <w:rPr>
          <w:rFonts w:ascii="Times New Roman" w:hAnsi="Times New Roman"/>
          <w:sz w:val="28"/>
          <w:szCs w:val="28"/>
        </w:rPr>
        <w:t xml:space="preserve">Министерство в течение 5 рабочих дней со дня получения двух экземпляров проекта Соглашения подписывает их со своей стороны. Один экземпляр Соглашения в течение 5 рабочих дней со дня подписания направляется Министерством почтовым отправлением с уведомлением на почтовый адрес </w:t>
      </w:r>
      <w:r>
        <w:rPr>
          <w:rFonts w:ascii="Times New Roman" w:hAnsi="Times New Roman"/>
          <w:sz w:val="28"/>
          <w:szCs w:val="28"/>
        </w:rPr>
        <w:t>Получателя субсидии</w:t>
      </w:r>
      <w:r>
        <w:rPr>
          <w:rFonts w:ascii="Times New Roman" w:hAnsi="Times New Roman"/>
          <w:sz w:val="28"/>
          <w:szCs w:val="28"/>
        </w:rPr>
        <w:t xml:space="preserve">. </w:t>
      </w:r>
    </w:p>
    <w:p>
      <w:pPr>
        <w:pStyle w:val="Normal"/>
        <w:widowControl/>
        <w:suppressAutoHyphens w:val="true"/>
        <w:bidi w:val="0"/>
        <w:spacing w:lineRule="auto" w:line="240" w:before="0" w:after="0"/>
        <w:ind w:firstLine="737" w:left="0" w:right="0"/>
        <w:jc w:val="both"/>
        <w:rPr/>
      </w:pPr>
      <w:r>
        <w:rPr>
          <w:rFonts w:ascii="Times New Roman" w:hAnsi="Times New Roman"/>
          <w:sz w:val="28"/>
          <w:szCs w:val="28"/>
        </w:rPr>
        <w:t xml:space="preserve">В случае непоступления в Министерство двух экземпляров подписанного Соглашения в течение 15 рабочих дней со дня получения </w:t>
      </w:r>
      <w:r>
        <w:rPr>
          <w:rFonts w:ascii="Times New Roman" w:hAnsi="Times New Roman"/>
          <w:sz w:val="28"/>
          <w:szCs w:val="28"/>
        </w:rPr>
        <w:t>Получателем субсидии</w:t>
      </w:r>
      <w:r>
        <w:rPr>
          <w:rFonts w:ascii="Times New Roman" w:hAnsi="Times New Roman"/>
          <w:sz w:val="28"/>
          <w:szCs w:val="28"/>
        </w:rPr>
        <w:t xml:space="preserve"> проекта Соглашения </w:t>
      </w:r>
      <w:r>
        <w:rPr>
          <w:rFonts w:ascii="Times New Roman" w:hAnsi="Times New Roman"/>
          <w:sz w:val="28"/>
          <w:szCs w:val="28"/>
        </w:rPr>
        <w:t>Получатель субсидии</w:t>
      </w:r>
      <w:r>
        <w:rPr>
          <w:rFonts w:ascii="Times New Roman" w:hAnsi="Times New Roman"/>
          <w:sz w:val="28"/>
          <w:szCs w:val="28"/>
        </w:rPr>
        <w:t xml:space="preserve"> признается уклонивш</w:t>
      </w:r>
      <w:r>
        <w:rPr>
          <w:rFonts w:ascii="Times New Roman" w:hAnsi="Times New Roman"/>
          <w:sz w:val="28"/>
          <w:szCs w:val="28"/>
        </w:rPr>
        <w:t>им</w:t>
      </w:r>
      <w:r>
        <w:rPr>
          <w:rFonts w:ascii="Times New Roman" w:hAnsi="Times New Roman"/>
          <w:sz w:val="28"/>
          <w:szCs w:val="28"/>
        </w:rPr>
        <w:t xml:space="preserve">ся от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16. В</w:t>
      </w:r>
      <w:r>
        <w:rPr>
          <w:rFonts w:ascii="Times New Roman" w:hAnsi="Times New Roman"/>
          <w:color w:val="auto"/>
          <w:sz w:val="28"/>
          <w:szCs w:val="28"/>
        </w:rPr>
        <w:t xml:space="preserve">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w:t>
      </w:r>
      <w:r>
        <w:rPr>
          <w:rFonts w:ascii="Times New Roman" w:hAnsi="Times New Roman"/>
          <w:color w:val="auto"/>
          <w:sz w:val="28"/>
          <w:szCs w:val="28"/>
        </w:rPr>
        <w:t>Камчатского края</w:t>
      </w:r>
      <w:r>
        <w:rPr>
          <w:rFonts w:ascii="Times New Roman" w:hAnsi="Times New Roman"/>
          <w:color w:val="auto"/>
          <w:sz w:val="28"/>
          <w:szCs w:val="28"/>
        </w:rPr>
        <w:t xml:space="preserve">. </w:t>
      </w:r>
    </w:p>
    <w:p>
      <w:pPr>
        <w:pStyle w:val="Default"/>
        <w:ind w:firstLine="709"/>
        <w:jc w:val="both"/>
        <w:rPr>
          <w:color w:val="auto"/>
          <w:sz w:val="28"/>
          <w:szCs w:val="28"/>
        </w:rPr>
      </w:pPr>
      <w:r>
        <w:rPr>
          <w:color w:val="auto"/>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color w:val="auto"/>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17. Обязательными условиями предоставления Субсидии являются: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включаемые соответственно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szCs w:val="28"/>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 w:name="_GoBack_Копия_1_Копия_1"/>
      <w:bookmarkEnd w:id="3"/>
      <w:r>
        <w:rPr>
          <w:rFonts w:ascii="Times New Roman" w:hAnsi="Times New Roman"/>
          <w:sz w:val="28"/>
          <w:szCs w:val="28"/>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 включаемое в Соглашение: </w:t>
      </w:r>
      <w:r>
        <w:rPr>
          <w:rFonts w:eastAsia="Calibri" w:ascii="Times New Roman" w:hAnsi="Times New Roman"/>
          <w:sz w:val="28"/>
          <w:szCs w:val="28"/>
          <w:lang w:eastAsia="en-US"/>
        </w:rPr>
        <w:t>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r>
        <w:rPr>
          <w:rFonts w:eastAsia="Calibri" w:ascii="Times New Roman" w:hAnsi="Times New Roman"/>
          <w:sz w:val="28"/>
          <w:szCs w:val="28"/>
        </w:rPr>
        <w:t>.</w:t>
      </w:r>
      <w:bookmarkStart w:id="4" w:name="_GoBack"/>
      <w:bookmarkEnd w:id="4"/>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w:t>
      </w:r>
      <w:r>
        <w:rPr>
          <w:rFonts w:ascii="Times New Roman" w:hAnsi="Times New Roman"/>
          <w:sz w:val="28"/>
          <w:szCs w:val="28"/>
        </w:rPr>
        <w:t xml:space="preserve">и, в течение 30 календарных дней со дня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19. Получатель субсидии ежеквартально не позднее 10 </w:t>
      </w:r>
      <w:r>
        <w:rPr>
          <w:rFonts w:ascii="Times New Roman" w:hAnsi="Times New Roman"/>
          <w:sz w:val="28"/>
          <w:szCs w:val="28"/>
        </w:rPr>
        <w:t>рабочего дня</w:t>
      </w:r>
      <w:r>
        <w:rPr>
          <w:rFonts w:ascii="Times New Roman" w:hAnsi="Times New Roman"/>
          <w:sz w:val="28"/>
          <w:szCs w:val="28"/>
        </w:rPr>
        <w:t xml:space="preserve">, следующего за отчетным кварталом, в котором была получена </w:t>
      </w:r>
      <w:r>
        <w:rPr>
          <w:rFonts w:ascii="Times New Roman" w:hAnsi="Times New Roman"/>
          <w:sz w:val="28"/>
          <w:szCs w:val="28"/>
        </w:rPr>
        <w:t>С</w:t>
      </w:r>
      <w:r>
        <w:rPr>
          <w:rFonts w:ascii="Times New Roman" w:hAnsi="Times New Roman"/>
          <w:sz w:val="28"/>
          <w:szCs w:val="28"/>
        </w:rPr>
        <w:t xml:space="preserve">убсидия, представляет в Министерство на бумажном носителе посредством почтового отправления или нарочно следующую отчетность по формам, </w:t>
      </w:r>
      <w:r>
        <w:rPr>
          <w:rFonts w:ascii="Times New Roman" w:hAnsi="Times New Roman"/>
          <w:sz w:val="28"/>
          <w:szCs w:val="28"/>
        </w:rPr>
        <w:t>определенным</w:t>
      </w:r>
      <w:r>
        <w:rPr>
          <w:rFonts w:ascii="Times New Roman" w:hAnsi="Times New Roman"/>
          <w:sz w:val="28"/>
          <w:szCs w:val="28"/>
        </w:rPr>
        <w:t xml:space="preserve"> типовыми формами, установленными Министерством финансов Камчатского края для </w:t>
      </w:r>
      <w:r>
        <w:rPr>
          <w:rFonts w:ascii="Times New Roman" w:hAnsi="Times New Roman"/>
          <w:sz w:val="28"/>
          <w:szCs w:val="28"/>
        </w:rPr>
        <w:t>С</w:t>
      </w:r>
      <w:r>
        <w:rPr>
          <w:rFonts w:ascii="Times New Roman" w:hAnsi="Times New Roman"/>
          <w:sz w:val="28"/>
          <w:szCs w:val="28"/>
        </w:rPr>
        <w:t xml:space="preserve">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отчет о достижении значени</w:t>
      </w:r>
      <w:r>
        <w:rPr>
          <w:rFonts w:ascii="Times New Roman" w:hAnsi="Times New Roman"/>
          <w:sz w:val="28"/>
          <w:szCs w:val="28"/>
        </w:rPr>
        <w:t>я</w:t>
      </w:r>
      <w:r>
        <w:rPr>
          <w:rFonts w:ascii="Times New Roman" w:hAnsi="Times New Roman"/>
          <w:sz w:val="28"/>
          <w:szCs w:val="28"/>
        </w:rPr>
        <w:t xml:space="preserve"> результат</w:t>
      </w:r>
      <w:r>
        <w:rPr>
          <w:rFonts w:ascii="Times New Roman" w:hAnsi="Times New Roman"/>
          <w:sz w:val="28"/>
          <w:szCs w:val="28"/>
        </w:rPr>
        <w:t>а</w:t>
      </w:r>
      <w:r>
        <w:rPr>
          <w:rFonts w:ascii="Times New Roman" w:hAnsi="Times New Roman"/>
          <w:sz w:val="28"/>
          <w:szCs w:val="28"/>
        </w:rPr>
        <w:t xml:space="preserve"> предоставления </w:t>
      </w:r>
      <w:r>
        <w:rPr>
          <w:rFonts w:ascii="Times New Roman" w:hAnsi="Times New Roman"/>
          <w:sz w:val="28"/>
          <w:szCs w:val="28"/>
        </w:rPr>
        <w:t>С</w:t>
      </w:r>
      <w:r>
        <w:rPr>
          <w:rFonts w:ascii="Times New Roman" w:hAnsi="Times New Roman"/>
          <w:sz w:val="28"/>
          <w:szCs w:val="28"/>
        </w:rPr>
        <w:t>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отчет о реализации плана мероприятий по достижению результат</w:t>
      </w:r>
      <w:r>
        <w:rPr>
          <w:rFonts w:ascii="Times New Roman" w:hAnsi="Times New Roman"/>
          <w:sz w:val="28"/>
          <w:szCs w:val="28"/>
        </w:rPr>
        <w:t>а</w:t>
      </w:r>
      <w:r>
        <w:rPr>
          <w:rFonts w:ascii="Times New Roman" w:hAnsi="Times New Roman"/>
          <w:sz w:val="28"/>
          <w:szCs w:val="28"/>
        </w:rPr>
        <w:t xml:space="preserve"> предоставления </w:t>
      </w:r>
      <w:r>
        <w:rPr>
          <w:rFonts w:ascii="Times New Roman" w:hAnsi="Times New Roman"/>
          <w:sz w:val="28"/>
          <w:szCs w:val="28"/>
        </w:rPr>
        <w:t>С</w:t>
      </w:r>
      <w:r>
        <w:rPr>
          <w:rFonts w:ascii="Times New Roman" w:hAnsi="Times New Roman"/>
          <w:sz w:val="28"/>
          <w:szCs w:val="28"/>
        </w:rPr>
        <w:t>убсидии (контрольных точек);</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3) отчет о расходах, источником финансового обеспечения которых является </w:t>
      </w:r>
      <w:r>
        <w:rPr>
          <w:rFonts w:ascii="Times New Roman" w:hAnsi="Times New Roman"/>
          <w:sz w:val="28"/>
          <w:szCs w:val="28"/>
        </w:rPr>
        <w:t>С</w:t>
      </w:r>
      <w:r>
        <w:rPr>
          <w:rFonts w:ascii="Times New Roman" w:hAnsi="Times New Roman"/>
          <w:sz w:val="28"/>
          <w:szCs w:val="28"/>
        </w:rPr>
        <w:t xml:space="preserve">убсидия.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20. Получатель субсидии в срок не позднее </w:t>
      </w:r>
      <w:r>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декабря</w:t>
      </w:r>
      <w:r>
        <w:rPr>
          <w:rFonts w:ascii="Times New Roman" w:hAnsi="Times New Roman"/>
          <w:sz w:val="28"/>
          <w:szCs w:val="28"/>
        </w:rPr>
        <w:t xml:space="preserve"> </w:t>
      </w:r>
      <w:r>
        <w:rPr>
          <w:rFonts w:ascii="Times New Roman" w:hAnsi="Times New Roman"/>
          <w:sz w:val="28"/>
          <w:szCs w:val="28"/>
        </w:rPr>
        <w:t xml:space="preserve">текущего финансового </w:t>
      </w:r>
      <w:r>
        <w:rPr>
          <w:rFonts w:ascii="Times New Roman" w:hAnsi="Times New Roman"/>
          <w:sz w:val="28"/>
          <w:szCs w:val="28"/>
        </w:rPr>
        <w:t xml:space="preserve">года представляет в Министерство </w:t>
      </w:r>
      <w:r>
        <w:rPr>
          <w:rFonts w:ascii="Times New Roman" w:hAnsi="Times New Roman"/>
          <w:sz w:val="28"/>
          <w:szCs w:val="28"/>
        </w:rPr>
        <w:t xml:space="preserve">на бумажном носителе посредством почтового отправления или нарочно </w:t>
      </w:r>
      <w:r>
        <w:rPr>
          <w:rFonts w:ascii="Times New Roman" w:hAnsi="Times New Roman"/>
          <w:sz w:val="28"/>
          <w:szCs w:val="28"/>
        </w:rPr>
        <w:t>дополнительную отчетность, предусмотренную Соглашением: пояснительную записку в свободной форме, подготовленную на бланке Получателя субсидии, о результатах расходования средств Субсидии и достижении значени</w:t>
      </w:r>
      <w:r>
        <w:rPr>
          <w:rFonts w:ascii="Times New Roman" w:hAnsi="Times New Roman"/>
          <w:sz w:val="28"/>
          <w:szCs w:val="28"/>
        </w:rPr>
        <w:t>я</w:t>
      </w:r>
      <w:r>
        <w:rPr>
          <w:rFonts w:ascii="Times New Roman" w:hAnsi="Times New Roman"/>
          <w:sz w:val="28"/>
          <w:szCs w:val="28"/>
        </w:rPr>
        <w:t xml:space="preserve"> результата предоставления Субсидии, с приложением документов, подтверждающих достижение значени</w:t>
      </w:r>
      <w:r>
        <w:rPr>
          <w:rFonts w:ascii="Times New Roman" w:hAnsi="Times New Roman"/>
          <w:sz w:val="28"/>
          <w:szCs w:val="28"/>
        </w:rPr>
        <w:t>я</w:t>
      </w:r>
      <w:r>
        <w:rPr>
          <w:rFonts w:ascii="Times New Roman" w:hAnsi="Times New Roman"/>
          <w:sz w:val="28"/>
          <w:szCs w:val="28"/>
        </w:rPr>
        <w:t xml:space="preserve"> результата предоставления Субсидии, а также фактически произведенные затраты (договоры, соглашения), счета, платежные поручения, акты приема-передачи (оказания услуг), счета-фактуры, письма, уведомления и иные документы).</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21. Министерство </w:t>
      </w:r>
      <w:r>
        <w:rPr>
          <w:rFonts w:ascii="Times New Roman" w:hAnsi="Times New Roman"/>
          <w:sz w:val="28"/>
          <w:szCs w:val="28"/>
        </w:rPr>
        <w:t xml:space="preserve">в течение 20 рабочих дней с момента окончания срока предоставления Получателем субсидии отчетности, указанной в частях 19 и 20 настоящего Порядка, </w:t>
      </w:r>
      <w:r>
        <w:rPr>
          <w:rFonts w:ascii="Times New Roman" w:hAnsi="Times New Roman"/>
          <w:sz w:val="28"/>
          <w:szCs w:val="28"/>
        </w:rPr>
        <w:t xml:space="preserve">осуществляет проверку </w:t>
      </w:r>
      <w:r>
        <w:rPr>
          <w:rFonts w:ascii="Times New Roman" w:hAnsi="Times New Roman"/>
          <w:sz w:val="28"/>
          <w:szCs w:val="28"/>
        </w:rPr>
        <w:t xml:space="preserve">данной </w:t>
      </w:r>
      <w:r>
        <w:rPr>
          <w:rFonts w:ascii="Times New Roman" w:hAnsi="Times New Roman"/>
          <w:sz w:val="28"/>
          <w:szCs w:val="28"/>
        </w:rPr>
        <w:t xml:space="preserve">отчетности </w:t>
      </w:r>
      <w:r>
        <w:rPr>
          <w:rFonts w:ascii="Times New Roman" w:hAnsi="Times New Roman"/>
          <w:sz w:val="28"/>
          <w:szCs w:val="28"/>
        </w:rPr>
        <w:t xml:space="preserve">и </w:t>
      </w:r>
      <w:r>
        <w:rPr>
          <w:rFonts w:ascii="Times New Roman" w:hAnsi="Times New Roman"/>
          <w:sz w:val="28"/>
          <w:szCs w:val="28"/>
        </w:rPr>
        <w:t>устанавливает полноту и достоверность сведений, содержащихся в отчетах и в прилагаемых к отчетам документах.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22. Отчеты считаются принятыми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23. Отчетность, указанная в частях 19 и 20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непредставление (представление не в полном объеме) документов, указанных в части 20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24.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частях 19 и 20 настоящего Порядка.</w:t>
      </w:r>
    </w:p>
    <w:p>
      <w:pPr>
        <w:pStyle w:val="Normal"/>
        <w:spacing w:lineRule="auto" w:line="240" w:before="0" w:after="0"/>
        <w:ind w:firstLine="709"/>
        <w:jc w:val="both"/>
        <w:rPr/>
      </w:pPr>
      <w:r>
        <w:rPr>
          <w:rFonts w:ascii="Times New Roman" w:hAnsi="Times New Roman"/>
          <w:sz w:val="28"/>
        </w:rPr>
        <w:t xml:space="preserve">25. </w:t>
      </w:r>
      <w:r>
        <w:rPr>
          <w:rFonts w:ascii="Times New Roman" w:hAnsi="Times New Roman"/>
          <w:sz w:val="28"/>
          <w:szCs w:val="28"/>
        </w:rPr>
        <w:t xml:space="preserve">Результатом предоставления Субсидии является </w:t>
      </w:r>
      <w:r>
        <w:rPr>
          <w:rFonts w:ascii="Times New Roman" w:hAnsi="Times New Roman"/>
          <w:sz w:val="28"/>
          <w:szCs w:val="28"/>
        </w:rPr>
        <w:t xml:space="preserve">количество экземпляров буклетов, посвященных культурным и историческим традициям коренных малочисленных народов, изданных </w:t>
      </w:r>
      <w:r>
        <w:rPr>
          <w:rFonts w:ascii="Times New Roman" w:hAnsi="Times New Roman"/>
          <w:sz w:val="28"/>
          <w:szCs w:val="28"/>
        </w:rPr>
        <w:t>Получателем субсидии</w:t>
      </w:r>
      <w:r>
        <w:rPr>
          <w:rFonts w:ascii="Times New Roman" w:hAnsi="Times New Roman"/>
          <w:sz w:val="28"/>
          <w:szCs w:val="28"/>
        </w:rPr>
        <w:t xml:space="preserve"> по состоянию на 1 декабря 202</w:t>
      </w:r>
      <w:r>
        <w:rPr>
          <w:rFonts w:ascii="Times New Roman" w:hAnsi="Times New Roman"/>
          <w:sz w:val="28"/>
          <w:szCs w:val="28"/>
        </w:rPr>
        <w:t>4</w:t>
      </w:r>
      <w:r>
        <w:rPr>
          <w:rFonts w:ascii="Times New Roman" w:hAnsi="Times New Roman"/>
          <w:sz w:val="28"/>
          <w:szCs w:val="28"/>
        </w:rPr>
        <w:t xml:space="preserve"> года. Значение результата устанавливается </w:t>
      </w:r>
      <w:r>
        <w:rPr>
          <w:rFonts w:ascii="Times New Roman" w:hAnsi="Times New Roman"/>
          <w:sz w:val="28"/>
          <w:szCs w:val="28"/>
        </w:rPr>
        <w:t xml:space="preserve">Министерством </w:t>
      </w:r>
      <w:r>
        <w:rPr>
          <w:rFonts w:ascii="Times New Roman" w:hAnsi="Times New Roman"/>
          <w:sz w:val="28"/>
          <w:szCs w:val="28"/>
        </w:rPr>
        <w:t xml:space="preserve">в Соглашении.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26. Мониторинг достижения значени</w:t>
      </w:r>
      <w:r>
        <w:rPr>
          <w:rFonts w:ascii="Times New Roman" w:hAnsi="Times New Roman"/>
          <w:sz w:val="28"/>
          <w:szCs w:val="28"/>
        </w:rPr>
        <w:t>я</w:t>
      </w:r>
      <w:r>
        <w:rPr>
          <w:rFonts w:ascii="Times New Roman" w:hAnsi="Times New Roman"/>
          <w:sz w:val="28"/>
          <w:szCs w:val="28"/>
        </w:rPr>
        <w:t xml:space="preserve">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szCs w:val="28"/>
        </w:rPr>
        <w:t xml:space="preserve">27. Министерство осуществляет проверку соблюдения Получателем субсидии, </w:t>
      </w:r>
      <w:r>
        <w:rPr>
          <w:rFonts w:eastAsia="Calibri" w:cs="" w:ascii="Times New Roman" w:hAnsi="Times New Roman" w:cstheme="minorBidi" w:eastAsiaTheme="minorHAnsi"/>
          <w:sz w:val="28"/>
          <w:szCs w:val="28"/>
        </w:rPr>
        <w:t xml:space="preserve">а также лицами, </w:t>
      </w:r>
      <w:r>
        <w:rPr>
          <w:rFonts w:ascii="Times New Roman" w:hAnsi="Times New Roman"/>
          <w:sz w:val="28"/>
          <w:szCs w:val="28"/>
        </w:rPr>
        <w:t xml:space="preserve">получившими средства на основании договоров, заключенных с Получателем субсидии </w:t>
      </w:r>
      <w:r>
        <w:rPr>
          <w:rFonts w:eastAsia="Calibri" w:cs="" w:ascii="Times New Roman" w:hAnsi="Times New Roman" w:cstheme="minorBidi" w:eastAsiaTheme="minorHAnsi"/>
          <w:sz w:val="28"/>
          <w:szCs w:val="28"/>
        </w:rPr>
        <w:t xml:space="preserve">в целях исполнения обязательств по Соглашению, </w:t>
      </w:r>
      <w:r>
        <w:rPr>
          <w:rFonts w:ascii="Times New Roman" w:hAnsi="Times New Roman"/>
          <w:sz w:val="28"/>
          <w:szCs w:val="28"/>
        </w:rPr>
        <w:t>условий и порядка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pPr>
        <w:pStyle w:val="Normal"/>
        <w:spacing w:lineRule="auto" w:line="240" w:before="0" w:after="0"/>
        <w:ind w:firstLine="709"/>
        <w:jc w:val="both"/>
        <w:rPr/>
      </w:pPr>
      <w:r>
        <w:rPr>
          <w:rFonts w:ascii="Times New Roman" w:hAnsi="Times New Roman"/>
          <w:sz w:val="28"/>
          <w:szCs w:val="28"/>
        </w:rPr>
        <w:t xml:space="preserve">Министерство оформляет результаты проверок в порядке, </w:t>
      </w:r>
      <w:r>
        <w:rPr>
          <w:rFonts w:ascii="Times New Roman" w:hAnsi="Times New Roman"/>
          <w:color w:val="auto"/>
          <w:sz w:val="28"/>
          <w:szCs w:val="28"/>
        </w:rPr>
        <w:t>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28. </w:t>
      </w:r>
      <w:r>
        <w:rPr>
          <w:rFonts w:eastAsia="Calibri" w:ascii="Times New Roman" w:hAnsi="Times New Roman"/>
          <w:color w:val="auto"/>
          <w:sz w:val="28"/>
          <w:szCs w:val="28"/>
          <w:lang w:eastAsia="en-US"/>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pPr>
        <w:pStyle w:val="Normal"/>
        <w:spacing w:lineRule="auto" w:line="240" w:before="0" w:after="0"/>
        <w:ind w:firstLine="709"/>
        <w:contextualSpacing/>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contextualSpacing/>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eastAsia="Calibri" w:ascii="Times New Roman" w:hAnsi="Times New Roman"/>
          <w:color w:val="auto"/>
          <w:sz w:val="28"/>
          <w:szCs w:val="28"/>
          <w:lang w:eastAsia="en-US"/>
        </w:rPr>
        <w:t>3) в иных случаях – в течение 20 рабочих дней со дня нарушения.</w:t>
      </w:r>
      <w:r>
        <w:rPr>
          <w:rFonts w:ascii="Times New Roman" w:hAnsi="Times New Roman"/>
          <w:sz w:val="28"/>
          <w:szCs w:val="28"/>
        </w:rPr>
        <w:tab/>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29. Получатель</w:t>
      </w:r>
      <w:r>
        <w:rPr>
          <w:rFonts w:ascii="Times New Roman" w:hAnsi="Times New Roman"/>
          <w:bCs/>
          <w:sz w:val="28"/>
          <w:szCs w:val="28"/>
        </w:rPr>
        <w:t xml:space="preserve"> субсидии обязан возвратить средства Субсидии в краевой бюджет в следующих размерах:</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1) в случае нарушения целей предоставления Субсидии – в размере нецелевого использования средств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2) в случае нарушения условий и порядка предоставления Субсидии – в полном объеме;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auto"/>
          <w:sz w:val="28"/>
          <w:szCs w:val="28"/>
        </w:rPr>
        <w:t>в случае недостижения значени</w:t>
      </w:r>
      <w:r>
        <w:rPr>
          <w:rFonts w:ascii="Times New Roman" w:hAnsi="Times New Roman"/>
          <w:color w:val="auto"/>
          <w:sz w:val="28"/>
          <w:szCs w:val="28"/>
        </w:rPr>
        <w:t>я</w:t>
      </w:r>
      <w:r>
        <w:rPr>
          <w:rFonts w:ascii="Times New Roman" w:hAnsi="Times New Roman"/>
          <w:color w:val="auto"/>
          <w:sz w:val="28"/>
          <w:szCs w:val="28"/>
        </w:rPr>
        <w:t xml:space="preserve"> результата предоставления</w:t>
        <w:br/>
        <w:t>Субсидии – в объеме недостигнут</w:t>
      </w:r>
      <w:r>
        <w:rPr>
          <w:rFonts w:ascii="Times New Roman" w:hAnsi="Times New Roman"/>
          <w:color w:val="auto"/>
          <w:sz w:val="28"/>
          <w:szCs w:val="28"/>
        </w:rPr>
        <w:t>ого</w:t>
      </w:r>
      <w:r>
        <w:rPr>
          <w:rFonts w:ascii="Times New Roman" w:hAnsi="Times New Roman"/>
          <w:color w:val="auto"/>
          <w:sz w:val="28"/>
          <w:szCs w:val="28"/>
        </w:rPr>
        <w:t xml:space="preserve"> значени</w:t>
      </w:r>
      <w:r>
        <w:rPr>
          <w:rFonts w:ascii="Times New Roman" w:hAnsi="Times New Roman"/>
          <w:color w:val="auto"/>
          <w:sz w:val="28"/>
          <w:szCs w:val="28"/>
        </w:rPr>
        <w:t>я</w:t>
      </w:r>
      <w:r>
        <w:rPr>
          <w:rFonts w:ascii="Times New Roman" w:hAnsi="Times New Roman"/>
          <w:color w:val="auto"/>
          <w:sz w:val="28"/>
          <w:szCs w:val="28"/>
        </w:rPr>
        <w:t xml:space="preserve"> результата, рассчитанн</w:t>
      </w:r>
      <w:r>
        <w:rPr>
          <w:rFonts w:ascii="Times New Roman" w:hAnsi="Times New Roman"/>
          <w:color w:val="auto"/>
          <w:sz w:val="28"/>
          <w:szCs w:val="28"/>
        </w:rPr>
        <w:t>ого</w:t>
      </w:r>
      <w:r>
        <w:rPr>
          <w:rFonts w:ascii="Times New Roman" w:hAnsi="Times New Roman"/>
          <w:color w:val="auto"/>
          <w:sz w:val="28"/>
          <w:szCs w:val="28"/>
        </w:rPr>
        <w:t xml:space="preserve"> по следующей формуле: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1134" w:leader="none"/>
        </w:tabs>
        <w:spacing w:lineRule="auto" w:line="240" w:before="0" w:after="0"/>
        <w:contextualSpacing/>
        <w:jc w:val="center"/>
        <w:rPr/>
      </w:pPr>
      <w:r>
        <w:rPr/>
      </w:r>
      <m:oMath xmlns:m="http://schemas.openxmlformats.org/officeDocument/2006/math">
        <m:r>
          <w:rPr>
            <w:rFonts w:ascii="Cambria Math" w:hAnsi="Cambria Math"/>
          </w:rPr>
          <m:t xml:space="preserve">V</m:t>
        </m:r>
        <m:r>
          <w:rPr>
            <w:rFonts w:ascii="Cambria Math" w:hAnsi="Cambria Math"/>
          </w:rPr>
          <m:t xml:space="preserve">возврата</m:t>
        </m:r>
        <m:r>
          <w:rPr>
            <w:rFonts w:ascii="Cambria Math" w:hAnsi="Cambria Math"/>
          </w:rPr>
          <m:t xml:space="preserve">=</m:t>
        </m:r>
        <m:r>
          <w:rPr>
            <w:rFonts w:ascii="Cambria Math" w:hAnsi="Cambria Math"/>
          </w:rPr>
          <m:t xml:space="preserve">V</m:t>
        </m:r>
        <m:r>
          <w:rPr>
            <w:rFonts w:ascii="Cambria Math" w:hAnsi="Cambria Math"/>
          </w:rPr>
          <m:t xml:space="preserve">субсидии</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Ti</m:t>
                </m:r>
              </m:num>
              <m:den>
                <m:r>
                  <w:rPr>
                    <w:rFonts w:ascii="Cambria Math" w:hAnsi="Cambria Math"/>
                  </w:rPr>
                  <m:t xml:space="preserve">Si</m:t>
                </m:r>
              </m:den>
            </m:f>
          </m:e>
        </m:d>
      </m:oMath>
      <w:r>
        <w:rPr>
          <w:rFonts w:ascii="Times New Roman" w:hAnsi="Times New Roman"/>
          <w:sz w:val="28"/>
          <w:szCs w:val="28"/>
        </w:rPr>
        <w:t>, где: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37"/>
        <w:jc w:val="both"/>
        <w:rPr/>
      </w:pPr>
      <w:r>
        <w:rPr>
          <w:rFonts w:ascii="Times New Roman" w:hAnsi="Times New Roman"/>
          <w:color w:val="auto"/>
          <w:sz w:val="28"/>
          <w:szCs w:val="28"/>
          <w:lang w:val="en-US"/>
        </w:rPr>
        <w:t>V</w:t>
      </w:r>
      <w:r>
        <w:rPr>
          <w:rFonts w:ascii="Times New Roman" w:hAnsi="Times New Roman"/>
          <w:color w:val="auto"/>
          <w:sz w:val="28"/>
          <w:szCs w:val="28"/>
        </w:rPr>
        <w:t xml:space="preserve">возврата </w:t>
      </w:r>
      <w:r>
        <w:rPr>
          <w:rFonts w:ascii="Times New Roman" w:hAnsi="Times New Roman"/>
          <w:sz w:val="28"/>
        </w:rPr>
        <w:t>–</w:t>
      </w:r>
      <w:r>
        <w:rPr>
          <w:rFonts w:ascii="Times New Roman" w:hAnsi="Times New Roman"/>
          <w:color w:val="auto"/>
          <w:sz w:val="28"/>
          <w:szCs w:val="28"/>
        </w:rPr>
        <w:t xml:space="preserve"> размер Субсидии, подлежащей возврату;</w:t>
      </w:r>
    </w:p>
    <w:p>
      <w:pPr>
        <w:pStyle w:val="Normal"/>
        <w:spacing w:lineRule="auto" w:line="240" w:before="0" w:after="0"/>
        <w:ind w:firstLine="737"/>
        <w:jc w:val="both"/>
        <w:rPr/>
      </w:pPr>
      <w:r>
        <w:rPr>
          <w:rFonts w:ascii="Times New Roman" w:hAnsi="Times New Roman"/>
          <w:color w:val="auto"/>
          <w:sz w:val="28"/>
          <w:szCs w:val="28"/>
          <w:lang w:val="en-US"/>
        </w:rPr>
        <w:t>V</w:t>
      </w:r>
      <w:r>
        <w:rPr>
          <w:rFonts w:ascii="Times New Roman" w:hAnsi="Times New Roman"/>
          <w:color w:val="auto"/>
          <w:sz w:val="28"/>
          <w:szCs w:val="28"/>
        </w:rPr>
        <w:t xml:space="preserve">субсидии </w:t>
      </w:r>
      <w:r>
        <w:rPr>
          <w:rFonts w:ascii="Times New Roman" w:hAnsi="Times New Roman"/>
          <w:sz w:val="28"/>
        </w:rPr>
        <w:t>–</w:t>
      </w:r>
      <w:r>
        <w:rPr>
          <w:rFonts w:ascii="Times New Roman" w:hAnsi="Times New Roman"/>
          <w:color w:val="auto"/>
          <w:sz w:val="28"/>
          <w:szCs w:val="28"/>
        </w:rPr>
        <w:t xml:space="preserve"> размер Субсидии, представленной Получателю субсидии;</w:t>
      </w:r>
    </w:p>
    <w:p>
      <w:pPr>
        <w:pStyle w:val="Normal"/>
        <w:spacing w:lineRule="auto" w:line="240" w:before="0" w:after="0"/>
        <w:ind w:firstLine="737"/>
        <w:jc w:val="both"/>
        <w:rPr/>
      </w:pPr>
      <w:r>
        <w:rPr>
          <w:rFonts w:ascii="Times New Roman" w:hAnsi="Times New Roman"/>
          <w:color w:val="auto"/>
          <w:sz w:val="28"/>
          <w:szCs w:val="28"/>
          <w:lang w:val="en-US"/>
        </w:rPr>
        <w:t>Ti</w:t>
      </w:r>
      <w:r>
        <w:rPr>
          <w:rFonts w:ascii="Times New Roman" w:hAnsi="Times New Roman"/>
          <w:color w:val="auto"/>
          <w:sz w:val="28"/>
          <w:szCs w:val="28"/>
        </w:rPr>
        <w:t xml:space="preserve"> </w:t>
      </w:r>
      <w:r>
        <w:rPr>
          <w:rFonts w:ascii="Times New Roman" w:hAnsi="Times New Roman"/>
          <w:sz w:val="28"/>
        </w:rPr>
        <w:t>–</w:t>
      </w:r>
      <w:r>
        <w:rPr>
          <w:rFonts w:ascii="Times New Roman" w:hAnsi="Times New Roman"/>
          <w:color w:val="auto"/>
          <w:sz w:val="28"/>
          <w:szCs w:val="28"/>
        </w:rPr>
        <w:t xml:space="preserve"> фактически достигнутое значение </w:t>
      </w:r>
      <w:r>
        <w:rPr>
          <w:rFonts w:ascii="Times New Roman" w:hAnsi="Times New Roman"/>
          <w:color w:val="auto"/>
          <w:sz w:val="28"/>
          <w:szCs w:val="28"/>
          <w:lang w:val="en-US"/>
        </w:rPr>
        <w:t>i</w:t>
      </w:r>
      <w:r>
        <w:rPr>
          <w:rFonts w:ascii="Times New Roman" w:hAnsi="Times New Roman"/>
          <w:color w:val="auto"/>
          <w:sz w:val="28"/>
          <w:szCs w:val="28"/>
        </w:rPr>
        <w:t>-го результата предоставления Субсидии на отчетную дату;</w:t>
      </w:r>
    </w:p>
    <w:p>
      <w:pPr>
        <w:pStyle w:val="Normal"/>
        <w:spacing w:lineRule="auto" w:line="240" w:before="0" w:after="0"/>
        <w:ind w:firstLine="737"/>
        <w:jc w:val="both"/>
        <w:rPr/>
      </w:pPr>
      <w:r>
        <w:rPr>
          <w:rFonts w:ascii="Times New Roman" w:hAnsi="Times New Roman"/>
          <w:color w:val="auto"/>
          <w:sz w:val="28"/>
          <w:szCs w:val="28"/>
          <w:lang w:val="en-US"/>
        </w:rPr>
        <w:t>Si</w:t>
      </w:r>
      <w:r>
        <w:rPr>
          <w:rFonts w:ascii="Times New Roman" w:hAnsi="Times New Roman"/>
          <w:color w:val="auto"/>
          <w:sz w:val="28"/>
          <w:szCs w:val="28"/>
        </w:rPr>
        <w:t xml:space="preserve"> </w:t>
      </w:r>
      <w:r>
        <w:rPr>
          <w:rFonts w:ascii="Times New Roman" w:hAnsi="Times New Roman"/>
          <w:sz w:val="28"/>
        </w:rPr>
        <w:t>–</w:t>
      </w:r>
      <w:r>
        <w:rPr>
          <w:rFonts w:ascii="Times New Roman" w:hAnsi="Times New Roman"/>
          <w:color w:val="auto"/>
          <w:sz w:val="28"/>
          <w:szCs w:val="28"/>
        </w:rPr>
        <w:t xml:space="preserve"> плановое значение </w:t>
      </w:r>
      <w:r>
        <w:rPr>
          <w:rFonts w:ascii="Times New Roman" w:hAnsi="Times New Roman"/>
          <w:color w:val="auto"/>
          <w:sz w:val="28"/>
          <w:szCs w:val="28"/>
          <w:lang w:val="en-US"/>
        </w:rPr>
        <w:t>i</w:t>
      </w:r>
      <w:r>
        <w:rPr>
          <w:rFonts w:ascii="Times New Roman" w:hAnsi="Times New Roman"/>
          <w:color w:val="auto"/>
          <w:sz w:val="28"/>
          <w:szCs w:val="28"/>
        </w:rPr>
        <w:t>-го результата предоставления Субсидии, установленное Соглашением.</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 xml:space="preserve">30. </w:t>
      </w:r>
      <w:r>
        <w:rPr>
          <w:rFonts w:ascii="Times New Roman" w:hAnsi="Times New Roman"/>
          <w:bCs/>
          <w:sz w:val="28"/>
          <w:szCs w:val="28"/>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pPr>
        <w:pStyle w:val="Normal"/>
        <w:tabs>
          <w:tab w:val="clear" w:pos="708"/>
          <w:tab w:val="left" w:pos="1134" w:leader="none"/>
        </w:tabs>
        <w:spacing w:lineRule="auto" w:line="240" w:before="0" w:after="0"/>
        <w:ind w:firstLine="737"/>
        <w:contextualSpacing/>
        <w:jc w:val="both"/>
        <w:rPr>
          <w:rFonts w:ascii="Times New Roman" w:hAnsi="Times New Roman"/>
        </w:rPr>
      </w:pPr>
      <w:r>
        <w:rPr>
          <w:rFonts w:ascii="Times New Roman" w:hAnsi="Times New Roman"/>
          <w:bCs/>
          <w:sz w:val="28"/>
          <w:szCs w:val="28"/>
        </w:rPr>
        <w:t xml:space="preserve">31. В случае выявления нарушений, в том числе по фактам проверок, указанных в части 27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28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bCs/>
          <w:sz w:val="28"/>
          <w:szCs w:val="28"/>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bCs/>
          <w:sz w:val="28"/>
          <w:szCs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 xml:space="preserve">32.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eastAsia="Calibri" w:ascii="Times New Roman" w:hAnsi="Times New Roman"/>
          <w:color w:val="auto"/>
          <w:sz w:val="28"/>
          <w:szCs w:val="28"/>
          <w:lang w:eastAsia="en-US"/>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текущего финансового года</w:t>
      </w:r>
      <w:r>
        <w:rPr>
          <w:rFonts w:ascii="Times New Roman" w:hAnsi="Times New Roman"/>
          <w:sz w:val="28"/>
          <w:szCs w:val="28"/>
        </w:rPr>
        <w:t>.</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33. При невозврате средств Субсидии в сроки, установленные 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sectPr>
      <w:headerReference w:type="even" r:id="rId3"/>
      <w:headerReference w:type="default" r:id="rId4"/>
      <w:headerReference w:type="first" r:id="rId5"/>
      <w:type w:val="nextPage"/>
      <w:pgSz w:w="11906" w:h="16838"/>
      <w:pgMar w:left="1417" w:right="850" w:gutter="0" w:header="413" w:top="1114" w:footer="0" w:bottom="1134"/>
      <w:pgNumType w:fmt="decimal"/>
      <w:formProt w:val="false"/>
      <w:titlePg/>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0</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12</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Title">
    <w:name w:val="Title"/>
    <w:next w:val="BodyText"/>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Caption11" w:customStyle="1">
    <w:name w:val="caption11"/>
    <w:basedOn w:val="Normal"/>
    <w:qFormat/>
    <w:pPr>
      <w:suppressLineNumbers/>
      <w:spacing w:before="120" w:after="120"/>
    </w:pPr>
    <w:rPr>
      <w:rFonts w:cs="Lucida Sans"/>
      <w:i/>
      <w:iCs/>
      <w:sz w:val="24"/>
      <w:szCs w:val="24"/>
    </w:rPr>
  </w:style>
  <w:style w:type="paragraph" w:styleId="Caption111" w:customStyle="1">
    <w:name w:val="caption111"/>
    <w:basedOn w:val="Normal"/>
    <w:qFormat/>
    <w:pPr>
      <w:suppressLineNumbers/>
      <w:spacing w:before="120" w:after="120"/>
    </w:pPr>
    <w:rPr>
      <w:rFonts w:cs="Lucida Sans"/>
      <w:i/>
      <w:iCs/>
      <w:sz w:val="24"/>
      <w:szCs w:val="24"/>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LibreOffice/24.2.0.3$Windows_X86_64 LibreOffice_project/da48488a73ddd66ea24cf16bbc4f7b9c08e9bea1</Application>
  <AppVersion>15.0000</AppVersion>
  <Pages>12</Pages>
  <Words>3454</Words>
  <Characters>24936</Characters>
  <CharactersWithSpaces>28310</CharactersWithSpaces>
  <Paragraphs>118</Paragraphs>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2024-03-04T03:47:00Z</dcterms:created>
  <dc:creator>Шклярова Наталья Борисовна</dc:creator>
  <dc:description/>
  <dc:language>ru-RU</dc:language>
  <cp:lastModifiedBy/>
  <dcterms:modified xsi:type="dcterms:W3CDTF">2024-05-15T15:42:28Z</dcterms:modified>
  <cp:revision>29</cp:revision>
  <dc:subject/>
  <dc:title>Постановление Правительства РФ от 25.10.2023 N 1782"Об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dc:title>
</cp:coreProperties>
</file>

<file path=docProps/custom.xml><?xml version="1.0" encoding="utf-8"?>
<Properties xmlns="http://schemas.openxmlformats.org/officeDocument/2006/custom-properties" xmlns:vt="http://schemas.openxmlformats.org/officeDocument/2006/docPropsVTypes"/>
</file>