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2736215</wp:posOffset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75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/>
        <w:tc>
          <w:tcPr>
            <w:tcW w:w="97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0"/>
              <w:jc w:val="center"/>
              <w:rPr/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часть 3 приложения </w:t>
            </w:r>
            <w:r>
              <w:rPr>
                <w:rFonts w:ascii="Times New Roman" w:hAnsi="Times New Roman"/>
                <w:b/>
                <w:sz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</w:rPr>
              <w:t xml:space="preserve">к постановлению Правительства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21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2.20</w:t>
            </w:r>
            <w:r>
              <w:rPr>
                <w:rFonts w:ascii="Times New Roman" w:hAnsi="Times New Roman"/>
                <w:b/>
                <w:sz w:val="28"/>
              </w:rPr>
              <w:t>23</w:t>
            </w:r>
            <w:r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670</w:t>
            </w:r>
            <w:r>
              <w:rPr>
                <w:rFonts w:ascii="Times New Roman" w:hAnsi="Times New Roman"/>
                <w:b/>
                <w:sz w:val="28"/>
              </w:rPr>
              <w:t>-П «</w:t>
            </w:r>
            <w:r>
              <w:rPr>
                <w:rFonts w:ascii="Times New Roman" w:hAnsi="Times New Roman"/>
                <w:b/>
                <w:sz w:val="28"/>
              </w:rPr>
              <w:t>Об отдельных вопросах использования земель или земельных участков, находящихся в государственной или муниципальной собственности, расположенных на территории Камчатского края,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пунктом 2 статьи 39</w:t>
      </w:r>
      <w:r>
        <w:rPr>
          <w:rFonts w:ascii="Times New Roman" w:hAnsi="Times New Roman"/>
          <w:sz w:val="28"/>
          <w:vertAlign w:val="superscript"/>
        </w:rPr>
        <w:t>36-1</w:t>
      </w:r>
      <w:r>
        <w:rPr>
          <w:rFonts w:ascii="Times New Roman" w:hAnsi="Times New Roman"/>
          <w:sz w:val="28"/>
        </w:rPr>
        <w:t xml:space="preserve"> Земельного кодекса Российской Федерации, у</w:t>
      </w:r>
      <w:r>
        <w:rPr>
          <w:rFonts w:ascii="Times New Roman" w:hAnsi="Times New Roman"/>
          <w:sz w:val="28"/>
        </w:rPr>
        <w:t xml:space="preserve">читывая </w:t>
      </w:r>
      <w:r>
        <w:rPr>
          <w:rFonts w:ascii="Times New Roman" w:hAnsi="Times New Roman"/>
          <w:sz w:val="28"/>
        </w:rPr>
        <w:t xml:space="preserve">экспертное заключение Управления Министерства юстиции Российской Федерации по Камчатскому краю от 15.02.2024 </w:t>
        <w:br/>
        <w:t>№ МинЮст-76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абзац второй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приложения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к постановлению Правительства Камчатского края от 21.12.2023 № 670-П «Об отдельных вопросах использования земель или земельных участков, находящихся в государственной или муниципальной собственности, расположенных на территории Камчатского края,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 изменение, </w:t>
      </w:r>
      <w:r>
        <w:rPr>
          <w:rFonts w:ascii="Times New Roman" w:hAnsi="Times New Roman"/>
          <w:sz w:val="28"/>
        </w:rPr>
        <w:t>изложив его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«Использование земельных участков, находящихся в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собственности, для возведения гражданами некапитальных гаражей </w:t>
      </w:r>
      <w:r>
        <w:rPr>
          <w:rFonts w:ascii="Times New Roman" w:hAnsi="Times New Roman"/>
          <w:sz w:val="28"/>
          <w:shd w:fill="auto" w:val="clear"/>
        </w:rPr>
        <w:t xml:space="preserve">осуществляется за плату, </w:t>
      </w:r>
      <w:r>
        <w:rPr>
          <w:rFonts w:ascii="Times New Roman" w:hAnsi="Times New Roman"/>
          <w:sz w:val="28"/>
          <w:shd w:fill="auto" w:val="clear"/>
        </w:rPr>
        <w:t xml:space="preserve">порядок </w:t>
      </w:r>
      <w:r>
        <w:rPr>
          <w:rFonts w:ascii="Times New Roman" w:hAnsi="Times New Roman"/>
          <w:sz w:val="28"/>
          <w:shd w:fill="auto" w:val="clear"/>
        </w:rPr>
        <w:t>определ</w:t>
      </w:r>
      <w:r>
        <w:rPr>
          <w:rFonts w:ascii="Times New Roman" w:hAnsi="Times New Roman"/>
          <w:sz w:val="28"/>
          <w:shd w:fill="auto" w:val="clear"/>
        </w:rPr>
        <w:t>ения которой устанавливается уполномоченными органами местного самоуправления муниципальных образований в Камчатском крае</w:t>
      </w:r>
      <w:r>
        <w:rPr>
          <w:rFonts w:ascii="Times New Roman" w:hAnsi="Times New Roman"/>
          <w:sz w:val="28"/>
          <w:shd w:fill="auto" w:val="clear"/>
        </w:rPr>
        <w:t xml:space="preserve"> в соответствии с </w:t>
      </w:r>
      <w:r>
        <w:rPr>
          <w:rFonts w:ascii="Times New Roman" w:hAnsi="Times New Roman"/>
          <w:sz w:val="28"/>
          <w:shd w:fill="auto" w:val="clear"/>
        </w:rPr>
        <w:t>подпунктом 3 пункта 2 статьи 39</w:t>
      </w:r>
      <w:r>
        <w:rPr>
          <w:rFonts w:ascii="Times New Roman" w:hAnsi="Times New Roman"/>
          <w:sz w:val="28"/>
          <w:shd w:fill="auto" w:val="clear"/>
          <w:vertAlign w:val="superscript"/>
        </w:rPr>
        <w:t>36-1</w:t>
      </w:r>
      <w:r>
        <w:rPr>
          <w:rFonts w:ascii="Times New Roman" w:hAnsi="Times New Roman"/>
          <w:sz w:val="28"/>
          <w:shd w:fill="auto" w:val="clear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hd w:fill="auto" w:val="clear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/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/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widowControl w:val="false"/>
        <w:spacing w:lineRule="auto" w:line="276" w:before="0" w:after="0"/>
        <w:jc w:val="both"/>
        <w:rPr/>
      </w:pPr>
      <w:r>
        <w:rPr/>
      </w:r>
      <w:bookmarkStart w:id="2" w:name="_GoBack"/>
      <w:bookmarkStart w:id="3" w:name="_GoBack"/>
      <w:bookmarkEnd w:id="3"/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7" w:right="850" w:gutter="0" w:header="567" w:top="1134" w:footer="0" w:bottom="113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lineRule="auto" w:line="24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next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basedOn w:val="Normal"/>
    <w:next w:val="Normal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basedOn w:val="Normal"/>
    <w:next w:val="Normal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basedOn w:val="Normal"/>
    <w:next w:val="Normal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qFormat/>
    <w:rPr>
      <w:rFonts w:eastAsia="Times New Roman" w:cs="Times New Roman"/>
      <w:color w:val="000000"/>
      <w:sz w:val="24"/>
      <w:szCs w:val="24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rFonts w:ascii="Times New Roman" w:hAnsi="Times New Roman" w:eastAsia="Times New Roman" w:cs="Times New Roman"/>
      <w:color w:val="0563C1"/>
      <w:sz w:val="24"/>
      <w:szCs w:val="24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 w:eastAsia="Times New Roman" w:cs="Times New Roman"/>
      <w:color w:val="000000"/>
      <w:sz w:val="28"/>
      <w:szCs w:val="24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qFormat/>
    <w:rPr>
      <w:rFonts w:ascii="Segoe UI" w:hAnsi="Segoe UI" w:eastAsia="Times New Roman" w:cs="Times New Roman"/>
      <w:color w:val="000000"/>
      <w:sz w:val="18"/>
      <w:szCs w:val="24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Caption1">
    <w:name w:val="caption1"/>
    <w:basedOn w:val="Normal"/>
    <w:qFormat/>
    <w:pPr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/>
    <w:rPr>
      <w:rFonts w:cs="Arial Unicode MS"/>
    </w:rPr>
  </w:style>
  <w:style w:type="paragraph" w:styleId="TOC2">
    <w:name w:val="TOC 2"/>
    <w:basedOn w:val="Indexheading"/>
    <w:next w:val="Normal"/>
    <w:pPr>
      <w:ind w:left="200"/>
    </w:pPr>
    <w:rPr>
      <w:rFonts w:ascii="XO Thames" w:hAnsi="XO Thames" w:cs="Times New Roman"/>
      <w:sz w:val="28"/>
    </w:rPr>
  </w:style>
  <w:style w:type="paragraph" w:styleId="TOC4">
    <w:name w:val="TOC 4"/>
    <w:basedOn w:val="Indexheading"/>
    <w:next w:val="Normal"/>
    <w:pPr>
      <w:ind w:left="600"/>
    </w:pPr>
    <w:rPr>
      <w:rFonts w:ascii="XO Thames" w:hAnsi="XO Thames" w:cs="Times New Roman"/>
      <w:sz w:val="28"/>
    </w:rPr>
  </w:style>
  <w:style w:type="paragraph" w:styleId="Style17" w:customStyle="1">
    <w:name w:val="Колонтитул"/>
    <w:basedOn w:val="Normal"/>
    <w:qFormat/>
    <w:pPr>
      <w:spacing w:lineRule="auto" w:line="240"/>
      <w:jc w:val="both"/>
    </w:pPr>
    <w:rPr>
      <w:rFonts w:ascii="XO Thames" w:hAnsi="XO Thames"/>
      <w:sz w:val="20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exact" w:line="240" w:before="0" w:after="0"/>
    </w:pPr>
    <w:rPr/>
  </w:style>
  <w:style w:type="paragraph" w:styleId="TOC6">
    <w:name w:val="TOC 6"/>
    <w:basedOn w:val="Indexheading"/>
    <w:next w:val="Normal"/>
    <w:pPr>
      <w:ind w:left="1000"/>
    </w:pPr>
    <w:rPr>
      <w:rFonts w:ascii="XO Thames" w:hAnsi="XO Thames" w:cs="Times New Roman"/>
      <w:sz w:val="28"/>
    </w:rPr>
  </w:style>
  <w:style w:type="paragraph" w:styleId="TOC7">
    <w:name w:val="TOC 7"/>
    <w:basedOn w:val="Indexheading"/>
    <w:next w:val="Normal"/>
    <w:pPr>
      <w:ind w:left="1200"/>
    </w:pPr>
    <w:rPr>
      <w:rFonts w:ascii="XO Thames" w:hAnsi="XO Thames" w:cs="Times New Roman"/>
      <w:sz w:val="28"/>
    </w:rPr>
  </w:style>
  <w:style w:type="paragraph" w:styleId="PlainText">
    <w:name w:val="Plain Text"/>
    <w:basedOn w:val="Normal"/>
    <w:qFormat/>
    <w:pPr>
      <w:spacing w:lineRule="exact" w:line="240" w:before="0" w:after="0"/>
    </w:pPr>
    <w:rPr/>
  </w:style>
  <w:style w:type="paragraph" w:styleId="TOC3">
    <w:name w:val="TOC 3"/>
    <w:basedOn w:val="Indexheading"/>
    <w:next w:val="Normal"/>
    <w:pPr>
      <w:ind w:left="400"/>
    </w:pPr>
    <w:rPr>
      <w:rFonts w:ascii="XO Thames" w:hAnsi="XO Thames" w:cs="Times New Roman"/>
      <w:sz w:val="28"/>
    </w:rPr>
  </w:style>
  <w:style w:type="paragraph" w:styleId="13" w:customStyle="1">
    <w:name w:val="Гиперссылка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0563C1"/>
      <w:kern w:val="2"/>
      <w:sz w:val="24"/>
      <w:szCs w:val="24"/>
      <w:u w:val="single"/>
      <w:lang w:val="ru-RU" w:eastAsia="zh-CN" w:bidi="hi-IN"/>
    </w:rPr>
  </w:style>
  <w:style w:type="paragraph" w:styleId="Footnote1" w:customStyle="1">
    <w:name w:val="Footnote1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basedOn w:val="Indexheading"/>
    <w:next w:val="Normal"/>
    <w:pPr/>
    <w:rPr>
      <w:rFonts w:ascii="XO Thames" w:hAnsi="XO Thames" w:cs="Times New Roman"/>
      <w:b/>
      <w:sz w:val="28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basedOn w:val="Indexheading"/>
    <w:next w:val="Normal"/>
    <w:pPr>
      <w:ind w:left="1600"/>
    </w:pPr>
    <w:rPr>
      <w:rFonts w:ascii="XO Thames" w:hAnsi="XO Thames" w:cs="Times New Roman"/>
      <w:sz w:val="28"/>
    </w:rPr>
  </w:style>
  <w:style w:type="paragraph" w:styleId="TOC8">
    <w:name w:val="TOC 8"/>
    <w:basedOn w:val="Indexheading"/>
    <w:next w:val="Normal"/>
    <w:pPr>
      <w:ind w:left="1400"/>
    </w:pPr>
    <w:rPr>
      <w:rFonts w:ascii="XO Thames" w:hAnsi="XO Thames" w:cs="Times New Roman"/>
      <w:sz w:val="28"/>
    </w:rPr>
  </w:style>
  <w:style w:type="paragraph" w:styleId="TOC5">
    <w:name w:val="TOC 5"/>
    <w:basedOn w:val="Indexheading"/>
    <w:next w:val="Normal"/>
    <w:pPr>
      <w:ind w:left="800"/>
    </w:pPr>
    <w:rPr>
      <w:rFonts w:ascii="XO Thames" w:hAnsi="XO Thames" w:cs="Times New Roman"/>
      <w:sz w:val="28"/>
    </w:rPr>
  </w:style>
  <w:style w:type="paragraph" w:styleId="Subtitle">
    <w:name w:val="Subtitle"/>
    <w:basedOn w:val="Normal"/>
    <w:next w:val="Normal"/>
    <w:qFormat/>
    <w:pPr>
      <w:jc w:val="both"/>
    </w:pPr>
    <w:rPr>
      <w:rFonts w:ascii="XO Thames" w:hAnsi="XO Thames"/>
      <w:i/>
      <w:sz w:val="24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exact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/>
      <w:sz w:val="18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LibreOffice/24.2.0.3$Windows_X86_64 LibreOffice_project/da48488a73ddd66ea24cf16bbc4f7b9c08e9bea1</Application>
  <AppVersion>15.0000</AppVersion>
  <Pages>2</Pages>
  <Words>233</Words>
  <Characters>1664</Characters>
  <CharactersWithSpaces>1883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2024-01-29T04:47:00Z</dcterms:created>
  <dc:creator>Шклярова Наталья Борисовна</dc:creator>
  <dc:description/>
  <dc:language>ru-RU</dc:language>
  <cp:lastModifiedBy/>
  <dcterms:modified xsi:type="dcterms:W3CDTF">2024-02-28T17:35:46Z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